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B001" w14:textId="77777777" w:rsidR="00D26756" w:rsidRPr="00B571F5" w:rsidRDefault="00D26756">
      <w:pPr>
        <w:spacing w:line="440" w:lineRule="exact"/>
        <w:jc w:val="center"/>
        <w:rPr>
          <w:rFonts w:ascii="標楷體" w:eastAsia="標楷體" w:hAnsi="標楷體"/>
          <w:b/>
          <w:bCs/>
          <w:sz w:val="36"/>
        </w:rPr>
      </w:pPr>
      <w:r w:rsidRPr="00B571F5">
        <w:rPr>
          <w:rFonts w:ascii="標楷體" w:eastAsia="標楷體" w:hAnsi="標楷體" w:hint="eastAsia"/>
          <w:b/>
          <w:bCs/>
          <w:sz w:val="36"/>
        </w:rPr>
        <w:t>政府採購專業人員進階訓練</w:t>
      </w:r>
    </w:p>
    <w:p w14:paraId="1B020928" w14:textId="77777777" w:rsidR="00D26756" w:rsidRPr="00B571F5" w:rsidRDefault="00D26756">
      <w:pPr>
        <w:spacing w:line="440" w:lineRule="exact"/>
        <w:jc w:val="center"/>
        <w:rPr>
          <w:rFonts w:ascii="標楷體" w:eastAsia="標楷體" w:hAnsi="標楷體"/>
          <w:b/>
          <w:bCs/>
          <w:sz w:val="36"/>
          <w:u w:val="single"/>
        </w:rPr>
      </w:pPr>
      <w:r w:rsidRPr="00B571F5">
        <w:rPr>
          <w:rFonts w:ascii="標楷體" w:eastAsia="標楷體" w:hAnsi="標楷體" w:hint="eastAsia"/>
          <w:b/>
          <w:bCs/>
          <w:sz w:val="36"/>
          <w:u w:val="single"/>
        </w:rPr>
        <w:t>工程及技術服務採購實務研討</w:t>
      </w:r>
    </w:p>
    <w:p w14:paraId="3826017F" w14:textId="77777777" w:rsidR="00D26756" w:rsidRPr="00B571F5" w:rsidRDefault="00D26756">
      <w:pPr>
        <w:spacing w:line="440" w:lineRule="exact"/>
        <w:jc w:val="center"/>
        <w:rPr>
          <w:rFonts w:ascii="標楷體" w:eastAsia="標楷體" w:hAnsi="標楷體"/>
          <w:b/>
          <w:bCs/>
          <w:sz w:val="32"/>
        </w:rPr>
      </w:pPr>
      <w:r w:rsidRPr="00B571F5">
        <w:rPr>
          <w:rFonts w:ascii="標楷體" w:eastAsia="標楷體" w:hAnsi="標楷體" w:hint="eastAsia"/>
          <w:b/>
          <w:bCs/>
          <w:sz w:val="32"/>
        </w:rPr>
        <w:t>~課程大綱~</w:t>
      </w:r>
    </w:p>
    <w:p w14:paraId="2514474B" w14:textId="77777777" w:rsidR="00D26756" w:rsidRPr="00B571F5" w:rsidRDefault="00D26756">
      <w:pPr>
        <w:spacing w:line="500" w:lineRule="exact"/>
        <w:jc w:val="center"/>
        <w:rPr>
          <w:rFonts w:ascii="標楷體" w:eastAsia="標楷體" w:hAnsi="標楷體"/>
          <w:sz w:val="36"/>
        </w:rPr>
      </w:pPr>
    </w:p>
    <w:p w14:paraId="15FFE024" w14:textId="77777777" w:rsidR="00D26756" w:rsidRPr="00B571F5" w:rsidRDefault="00F32016">
      <w:pPr>
        <w:numPr>
          <w:ilvl w:val="0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綜合事項</w:t>
      </w:r>
    </w:p>
    <w:p w14:paraId="14467B08" w14:textId="77777777" w:rsidR="00D26756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公共工程履約權責劃分及管理應注意事項</w:t>
      </w:r>
    </w:p>
    <w:p w14:paraId="6EEA8CFD" w14:textId="77777777" w:rsidR="00F32016" w:rsidRDefault="00F3201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各種投標須知及契約範本之</w:t>
      </w:r>
      <w:r w:rsidR="00C55FDB">
        <w:rPr>
          <w:rFonts w:ascii="標楷體" w:eastAsia="標楷體" w:hAnsi="標楷體" w:hint="eastAsia"/>
          <w:sz w:val="28"/>
        </w:rPr>
        <w:t>效力及</w:t>
      </w:r>
      <w:r>
        <w:rPr>
          <w:rFonts w:ascii="標楷體" w:eastAsia="標楷體" w:hAnsi="標楷體" w:hint="eastAsia"/>
          <w:sz w:val="28"/>
        </w:rPr>
        <w:t>重點</w:t>
      </w:r>
    </w:p>
    <w:p w14:paraId="372FB0C2" w14:textId="77777777" w:rsidR="00F32016" w:rsidRPr="00B571F5" w:rsidRDefault="00F3201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主管機關訂定或提供之</w:t>
      </w:r>
      <w:r w:rsidR="00C55FDB">
        <w:rPr>
          <w:rFonts w:ascii="標楷體" w:eastAsia="標楷體" w:hAnsi="標楷體" w:hint="eastAsia"/>
          <w:sz w:val="28"/>
        </w:rPr>
        <w:t>與工程及技術服務相關之</w:t>
      </w:r>
      <w:r>
        <w:rPr>
          <w:rFonts w:ascii="標楷體" w:eastAsia="標楷體" w:hAnsi="標楷體" w:hint="eastAsia"/>
          <w:sz w:val="28"/>
        </w:rPr>
        <w:t>錯誤態樣</w:t>
      </w:r>
    </w:p>
    <w:p w14:paraId="3B9CDD37" w14:textId="77777777" w:rsidR="004743FE" w:rsidRPr="00B571F5" w:rsidRDefault="004743FE">
      <w:pPr>
        <w:snapToGrid w:val="0"/>
        <w:spacing w:line="300" w:lineRule="auto"/>
        <w:ind w:left="480"/>
        <w:jc w:val="both"/>
        <w:rPr>
          <w:rFonts w:ascii="標楷體" w:eastAsia="標楷體" w:hAnsi="標楷體"/>
          <w:sz w:val="28"/>
        </w:rPr>
      </w:pPr>
    </w:p>
    <w:p w14:paraId="0BDF5F8D" w14:textId="77777777" w:rsidR="00D26756" w:rsidRPr="00B571F5" w:rsidRDefault="00D26756">
      <w:pPr>
        <w:numPr>
          <w:ilvl w:val="0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b/>
          <w:bCs/>
          <w:sz w:val="28"/>
        </w:rPr>
      </w:pPr>
      <w:r w:rsidRPr="00B571F5">
        <w:rPr>
          <w:rFonts w:ascii="標楷體" w:eastAsia="標楷體" w:hAnsi="標楷體" w:hint="eastAsia"/>
          <w:b/>
          <w:bCs/>
          <w:sz w:val="28"/>
        </w:rPr>
        <w:t>工程採購之特性</w:t>
      </w:r>
    </w:p>
    <w:p w14:paraId="13614C2A" w14:textId="77777777" w:rsidR="00D26756" w:rsidRDefault="00F32016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廠商、決標價、</w:t>
      </w:r>
      <w:r w:rsidR="00D26756" w:rsidRPr="00B571F5">
        <w:rPr>
          <w:rFonts w:ascii="標楷體" w:eastAsia="標楷體" w:hAnsi="標楷體" w:hint="eastAsia"/>
          <w:sz w:val="28"/>
        </w:rPr>
        <w:t>成本、進度、品質</w:t>
      </w:r>
    </w:p>
    <w:p w14:paraId="16B3939E" w14:textId="77777777" w:rsidR="00D8445B" w:rsidRDefault="00D8445B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施工階段</w:t>
      </w:r>
      <w:r w:rsidR="00F32016">
        <w:rPr>
          <w:rFonts w:ascii="標楷體" w:eastAsia="標楷體" w:hAnsi="標楷體" w:hint="eastAsia"/>
          <w:sz w:val="28"/>
        </w:rPr>
        <w:t>評量及建立</w:t>
      </w:r>
      <w:r>
        <w:rPr>
          <w:rFonts w:ascii="標楷體" w:eastAsia="標楷體" w:hAnsi="標楷體" w:hint="eastAsia"/>
          <w:sz w:val="28"/>
        </w:rPr>
        <w:t>履歷</w:t>
      </w:r>
    </w:p>
    <w:p w14:paraId="0232DC42" w14:textId="77777777" w:rsidR="00D8445B" w:rsidRDefault="00D8445B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物價</w:t>
      </w:r>
      <w:r w:rsidR="00F32016">
        <w:rPr>
          <w:rFonts w:ascii="標楷體" w:eastAsia="標楷體" w:hAnsi="標楷體" w:hint="eastAsia"/>
          <w:sz w:val="28"/>
        </w:rPr>
        <w:t>指數調整契約價金機制</w:t>
      </w:r>
    </w:p>
    <w:p w14:paraId="74388ADE" w14:textId="77777777" w:rsidR="00D8445B" w:rsidRDefault="00D8445B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計價</w:t>
      </w:r>
      <w:r w:rsidR="00F32016">
        <w:rPr>
          <w:rFonts w:ascii="標楷體" w:eastAsia="標楷體" w:hAnsi="標楷體" w:hint="eastAsia"/>
          <w:sz w:val="28"/>
        </w:rPr>
        <w:t>付款</w:t>
      </w:r>
      <w:r w:rsidR="00EB6DE0">
        <w:rPr>
          <w:rFonts w:ascii="標楷體" w:eastAsia="標楷體" w:hAnsi="標楷體" w:hint="eastAsia"/>
          <w:sz w:val="28"/>
        </w:rPr>
        <w:t>、審核</w:t>
      </w:r>
      <w:r w:rsidR="00F9123A">
        <w:rPr>
          <w:rFonts w:ascii="標楷體" w:eastAsia="標楷體" w:hAnsi="標楷體" w:hint="eastAsia"/>
          <w:sz w:val="28"/>
        </w:rPr>
        <w:t>及付款之法定</w:t>
      </w:r>
      <w:r w:rsidR="00EB6DE0">
        <w:rPr>
          <w:rFonts w:ascii="標楷體" w:eastAsia="標楷體" w:hAnsi="標楷體" w:hint="eastAsia"/>
          <w:sz w:val="28"/>
        </w:rPr>
        <w:t>期限</w:t>
      </w:r>
      <w:r w:rsidR="00F9123A">
        <w:rPr>
          <w:rFonts w:ascii="標楷體" w:eastAsia="標楷體" w:hAnsi="標楷體" w:hint="eastAsia"/>
          <w:sz w:val="28"/>
        </w:rPr>
        <w:t>、</w:t>
      </w:r>
      <w:r w:rsidR="00F32016">
        <w:rPr>
          <w:rFonts w:ascii="標楷體" w:eastAsia="標楷體" w:hAnsi="標楷體" w:hint="eastAsia"/>
          <w:sz w:val="28"/>
        </w:rPr>
        <w:t>遲延付款</w:t>
      </w:r>
      <w:r>
        <w:rPr>
          <w:rFonts w:ascii="標楷體" w:eastAsia="標楷體" w:hAnsi="標楷體" w:hint="eastAsia"/>
          <w:sz w:val="28"/>
        </w:rPr>
        <w:t>爭議</w:t>
      </w:r>
    </w:p>
    <w:p w14:paraId="38345E03" w14:textId="234A457E" w:rsidR="00D8445B" w:rsidRDefault="00D8445B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開口契約</w:t>
      </w:r>
    </w:p>
    <w:p w14:paraId="4C077121" w14:textId="7F8205F0" w:rsidR="00D8445B" w:rsidRDefault="00D8445B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救災工程及災後工程</w:t>
      </w:r>
    </w:p>
    <w:p w14:paraId="548BE93C" w14:textId="32217C10" w:rsidR="000F1CFC" w:rsidRDefault="000F1CFC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8771E0">
        <w:rPr>
          <w:rFonts w:ascii="標楷體" w:eastAsia="標楷體" w:hAnsi="標楷體" w:cs="Arial" w:hint="eastAsia"/>
          <w:color w:val="000000"/>
          <w:sz w:val="28"/>
          <w:szCs w:val="28"/>
        </w:rPr>
        <w:t>節能</w:t>
      </w:r>
      <w:proofErr w:type="gramStart"/>
      <w:r w:rsidRPr="008771E0">
        <w:rPr>
          <w:rFonts w:ascii="標楷體" w:eastAsia="標楷體" w:hAnsi="標楷體" w:cs="Arial" w:hint="eastAsia"/>
          <w:color w:val="000000"/>
          <w:sz w:val="28"/>
          <w:szCs w:val="28"/>
        </w:rPr>
        <w:t>減碳永</w:t>
      </w:r>
      <w:proofErr w:type="gramEnd"/>
      <w:r w:rsidRPr="008771E0">
        <w:rPr>
          <w:rFonts w:ascii="標楷體" w:eastAsia="標楷體" w:hAnsi="標楷體" w:cs="Arial" w:hint="eastAsia"/>
          <w:color w:val="000000"/>
          <w:sz w:val="28"/>
          <w:szCs w:val="28"/>
        </w:rPr>
        <w:t>續發展</w:t>
      </w:r>
      <w:r w:rsidR="00F32016" w:rsidRPr="008771E0">
        <w:rPr>
          <w:rFonts w:ascii="標楷體" w:eastAsia="標楷體" w:hAnsi="標楷體" w:cs="Arial" w:hint="eastAsia"/>
          <w:color w:val="000000"/>
          <w:sz w:val="28"/>
          <w:szCs w:val="28"/>
        </w:rPr>
        <w:t>之工程（可參考工程會網站公開之</w:t>
      </w:r>
      <w:r w:rsidR="0039056F">
        <w:rPr>
          <w:rFonts w:ascii="標楷體" w:eastAsia="標楷體" w:hAnsi="標楷體" w:cs="Arial" w:hint="eastAsia"/>
          <w:color w:val="000000"/>
          <w:sz w:val="28"/>
          <w:szCs w:val="28"/>
        </w:rPr>
        <w:t>公共工程節能減碳專區及</w:t>
      </w:r>
      <w:r w:rsidR="00F32016" w:rsidRPr="008771E0">
        <w:rPr>
          <w:rFonts w:ascii="標楷體" w:eastAsia="標楷體" w:hAnsi="標楷體" w:cs="Arial" w:hint="eastAsia"/>
          <w:color w:val="000000"/>
          <w:sz w:val="28"/>
          <w:szCs w:val="28"/>
        </w:rPr>
        <w:t>永續公共工程政策）</w:t>
      </w:r>
    </w:p>
    <w:p w14:paraId="167F925E" w14:textId="77777777" w:rsidR="00FB5998" w:rsidRDefault="00FB5998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FB5998">
        <w:rPr>
          <w:rFonts w:ascii="標楷體" w:eastAsia="標楷體" w:hAnsi="標楷體" w:cs="Arial" w:hint="eastAsia"/>
          <w:color w:val="000000"/>
          <w:sz w:val="28"/>
          <w:szCs w:val="28"/>
        </w:rPr>
        <w:t>生命週期成本之考量</w:t>
      </w:r>
    </w:p>
    <w:p w14:paraId="371EE562" w14:textId="77777777" w:rsidR="00CF7DFF" w:rsidRDefault="00CF7DFF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CF7DFF">
        <w:rPr>
          <w:rFonts w:ascii="標楷體" w:eastAsia="標楷體" w:hAnsi="標楷體" w:cs="Arial" w:hint="eastAsia"/>
          <w:color w:val="000000"/>
          <w:sz w:val="28"/>
          <w:szCs w:val="28"/>
        </w:rPr>
        <w:t>工程採購以「最低標」、「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評分及格</w:t>
      </w:r>
      <w:r w:rsidRPr="00CF7DFF">
        <w:rPr>
          <w:rFonts w:ascii="標楷體" w:eastAsia="標楷體" w:hAnsi="標楷體" w:cs="Arial" w:hint="eastAsia"/>
          <w:color w:val="000000"/>
          <w:sz w:val="28"/>
          <w:szCs w:val="28"/>
        </w:rPr>
        <w:t>最低標」或「最有利標」方式決標之方式及利弊分析</w:t>
      </w:r>
    </w:p>
    <w:p w14:paraId="3752B426" w14:textId="49A14116" w:rsidR="00CF7DFF" w:rsidRPr="008771E0" w:rsidRDefault="003F042D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以評分及格最低標或最有利標</w:t>
      </w:r>
      <w:r w:rsidR="00CF7DFF" w:rsidRPr="00CF7DFF">
        <w:rPr>
          <w:rFonts w:ascii="標楷體" w:eastAsia="標楷體" w:hAnsi="標楷體" w:cs="Arial" w:hint="eastAsia"/>
          <w:color w:val="000000"/>
          <w:sz w:val="28"/>
          <w:szCs w:val="28"/>
        </w:rPr>
        <w:t>選擇優良之施工廠商及減少廠商惡性低價搶標</w:t>
      </w:r>
    </w:p>
    <w:p w14:paraId="7AD5DD95" w14:textId="77777777" w:rsidR="00D26756" w:rsidRPr="00B571F5" w:rsidRDefault="00D26756">
      <w:pPr>
        <w:snapToGrid w:val="0"/>
        <w:spacing w:line="300" w:lineRule="auto"/>
        <w:ind w:left="480"/>
        <w:jc w:val="both"/>
        <w:rPr>
          <w:rFonts w:ascii="標楷體" w:eastAsia="標楷體" w:hAnsi="標楷體"/>
          <w:sz w:val="28"/>
        </w:rPr>
      </w:pPr>
    </w:p>
    <w:p w14:paraId="79A29DC7" w14:textId="77777777" w:rsidR="00D26756" w:rsidRPr="00B571F5" w:rsidRDefault="00D26756">
      <w:pPr>
        <w:numPr>
          <w:ilvl w:val="0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b/>
          <w:bCs/>
          <w:sz w:val="28"/>
        </w:rPr>
      </w:pPr>
      <w:r w:rsidRPr="00B571F5">
        <w:rPr>
          <w:rFonts w:ascii="標楷體" w:eastAsia="標楷體" w:hAnsi="標楷體" w:hint="eastAsia"/>
          <w:b/>
          <w:bCs/>
          <w:sz w:val="28"/>
        </w:rPr>
        <w:t>招標方式之探討</w:t>
      </w:r>
    </w:p>
    <w:p w14:paraId="6E8BD6D9" w14:textId="77777777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公開招標、選擇性招標、限制性招標之適用情形</w:t>
      </w:r>
    </w:p>
    <w:p w14:paraId="05BE30E8" w14:textId="77777777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統包之招標前置作業、注意事項及常見缺失</w:t>
      </w:r>
    </w:p>
    <w:p w14:paraId="6C66E150" w14:textId="77777777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共同投標常見問題</w:t>
      </w:r>
    </w:p>
    <w:p w14:paraId="41DE9A45" w14:textId="77777777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替代方案</w:t>
      </w:r>
      <w:r w:rsidR="00CF7DFF" w:rsidRPr="00CF7DFF">
        <w:rPr>
          <w:rFonts w:ascii="標楷體" w:eastAsia="標楷體" w:hAnsi="標楷體" w:hint="eastAsia"/>
          <w:sz w:val="28"/>
        </w:rPr>
        <w:t>之辦理方式</w:t>
      </w:r>
    </w:p>
    <w:p w14:paraId="13D12B9A" w14:textId="77777777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後續擴充</w:t>
      </w:r>
      <w:r w:rsidR="003F042D">
        <w:rPr>
          <w:rFonts w:ascii="標楷體" w:eastAsia="標楷體" w:hAnsi="標楷體" w:hint="eastAsia"/>
          <w:sz w:val="28"/>
        </w:rPr>
        <w:t>含選配</w:t>
      </w:r>
      <w:r w:rsidRPr="00B571F5">
        <w:rPr>
          <w:rFonts w:ascii="標楷體" w:eastAsia="標楷體" w:hAnsi="標楷體" w:hint="eastAsia"/>
          <w:sz w:val="28"/>
        </w:rPr>
        <w:t>採購之辦理方式</w:t>
      </w:r>
    </w:p>
    <w:p w14:paraId="5A8260F3" w14:textId="77777777" w:rsidR="00D26756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lastRenderedPageBreak/>
        <w:t>廠商資格訂定之</w:t>
      </w:r>
      <w:r w:rsidR="00F32016">
        <w:rPr>
          <w:rFonts w:ascii="標楷體" w:eastAsia="標楷體" w:hAnsi="標楷體" w:hint="eastAsia"/>
          <w:sz w:val="28"/>
        </w:rPr>
        <w:t>不妥</w:t>
      </w:r>
      <w:proofErr w:type="gramStart"/>
      <w:r w:rsidR="00F32016">
        <w:rPr>
          <w:rFonts w:ascii="標楷體" w:eastAsia="標楷體" w:hAnsi="標楷體" w:hint="eastAsia"/>
          <w:sz w:val="28"/>
        </w:rPr>
        <w:t>適</w:t>
      </w:r>
      <w:proofErr w:type="gramEnd"/>
      <w:r w:rsidR="00F9123A">
        <w:rPr>
          <w:rFonts w:ascii="標楷體" w:eastAsia="標楷體" w:hAnsi="標楷體" w:hint="eastAsia"/>
          <w:sz w:val="28"/>
        </w:rPr>
        <w:t>情形</w:t>
      </w:r>
    </w:p>
    <w:p w14:paraId="56CE3859" w14:textId="6CFAC1FA" w:rsidR="00F32016" w:rsidRPr="00B571F5" w:rsidRDefault="00840893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招</w:t>
      </w:r>
      <w:r w:rsidR="00F32016">
        <w:rPr>
          <w:rFonts w:ascii="標楷體" w:eastAsia="標楷體" w:hAnsi="標楷體" w:hint="eastAsia"/>
          <w:sz w:val="28"/>
        </w:rPr>
        <w:t>標文件</w:t>
      </w:r>
      <w:r>
        <w:rPr>
          <w:rFonts w:ascii="標楷體" w:eastAsia="標楷體" w:hAnsi="標楷體" w:hint="eastAsia"/>
          <w:sz w:val="28"/>
        </w:rPr>
        <w:t>明確</w:t>
      </w:r>
      <w:r w:rsidR="00AF627D">
        <w:rPr>
          <w:rFonts w:ascii="標楷體" w:eastAsia="標楷體" w:hAnsi="標楷體" w:hint="eastAsia"/>
          <w:sz w:val="28"/>
        </w:rPr>
        <w:t>履約標的、工作範圍</w:t>
      </w:r>
      <w:r>
        <w:rPr>
          <w:rFonts w:ascii="標楷體" w:eastAsia="標楷體" w:hAnsi="標楷體" w:hint="eastAsia"/>
          <w:sz w:val="28"/>
        </w:rPr>
        <w:t>及投標文件應備事項</w:t>
      </w:r>
    </w:p>
    <w:p w14:paraId="405481A7" w14:textId="77777777" w:rsidR="00D26756" w:rsidRPr="00B571F5" w:rsidRDefault="00D26756">
      <w:pPr>
        <w:snapToGrid w:val="0"/>
        <w:spacing w:line="300" w:lineRule="auto"/>
        <w:ind w:left="480"/>
        <w:jc w:val="both"/>
        <w:rPr>
          <w:rFonts w:ascii="標楷體" w:eastAsia="標楷體" w:hAnsi="標楷體"/>
          <w:sz w:val="28"/>
        </w:rPr>
      </w:pPr>
    </w:p>
    <w:p w14:paraId="04FEBCE9" w14:textId="77777777" w:rsidR="00300E77" w:rsidRDefault="00300E77">
      <w:pPr>
        <w:numPr>
          <w:ilvl w:val="0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工程管理</w:t>
      </w:r>
    </w:p>
    <w:p w14:paraId="3BA1F6EF" w14:textId="77777777" w:rsidR="00300E77" w:rsidRDefault="00300E77" w:rsidP="00300E77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300E77">
        <w:rPr>
          <w:rFonts w:ascii="標楷體" w:eastAsia="標楷體" w:hAnsi="標楷體" w:hint="eastAsia"/>
          <w:sz w:val="28"/>
        </w:rPr>
        <w:t>品質管理制度</w:t>
      </w:r>
      <w:r>
        <w:rPr>
          <w:rFonts w:ascii="標楷體" w:eastAsia="標楷體" w:hAnsi="標楷體" w:hint="eastAsia"/>
          <w:sz w:val="28"/>
        </w:rPr>
        <w:t>及</w:t>
      </w:r>
      <w:r w:rsidRPr="00300E77">
        <w:rPr>
          <w:rFonts w:ascii="標楷體" w:eastAsia="標楷體" w:hAnsi="標楷體" w:hint="eastAsia"/>
          <w:sz w:val="28"/>
        </w:rPr>
        <w:t>品質管理作業</w:t>
      </w:r>
    </w:p>
    <w:p w14:paraId="4F8B02D1" w14:textId="77777777" w:rsidR="00300E77" w:rsidRDefault="00300E77" w:rsidP="00300E77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施工查核</w:t>
      </w:r>
    </w:p>
    <w:p w14:paraId="22F7FD85" w14:textId="77777777" w:rsidR="00300E77" w:rsidRDefault="00300E77" w:rsidP="00300E77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300E77">
        <w:rPr>
          <w:rFonts w:ascii="標楷體" w:eastAsia="標楷體" w:hAnsi="標楷體" w:hint="eastAsia"/>
          <w:sz w:val="28"/>
        </w:rPr>
        <w:t>公共工程施工廠商履約情形計分要點</w:t>
      </w:r>
    </w:p>
    <w:p w14:paraId="1EC598E2" w14:textId="77777777" w:rsidR="00300E77" w:rsidRDefault="00300E77" w:rsidP="00300E77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300E77">
        <w:rPr>
          <w:rFonts w:ascii="標楷體" w:eastAsia="標楷體" w:hAnsi="標楷體" w:hint="eastAsia"/>
          <w:sz w:val="28"/>
        </w:rPr>
        <w:t>公共工程開工要件注意事項</w:t>
      </w:r>
    </w:p>
    <w:p w14:paraId="1D86C71B" w14:textId="77777777" w:rsidR="00CF7DFF" w:rsidRDefault="00CF7DFF" w:rsidP="00300E77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工期管理（展延、遲延履約、趕工、停復工）</w:t>
      </w:r>
    </w:p>
    <w:p w14:paraId="569128B4" w14:textId="77777777" w:rsidR="00F9123A" w:rsidRDefault="00F9123A" w:rsidP="00300E77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重大公共建設計畫證照許可行政作業精進實施要點</w:t>
      </w:r>
    </w:p>
    <w:p w14:paraId="5F7074CC" w14:textId="77777777" w:rsidR="00300E77" w:rsidRDefault="00300E77" w:rsidP="00300E77">
      <w:pPr>
        <w:snapToGrid w:val="0"/>
        <w:spacing w:line="300" w:lineRule="auto"/>
        <w:jc w:val="both"/>
        <w:rPr>
          <w:rFonts w:ascii="標楷體" w:eastAsia="標楷體" w:hAnsi="標楷體"/>
          <w:b/>
          <w:bCs/>
          <w:sz w:val="28"/>
        </w:rPr>
      </w:pPr>
    </w:p>
    <w:p w14:paraId="783DA959" w14:textId="77777777" w:rsidR="00D26756" w:rsidRPr="00B571F5" w:rsidRDefault="00D26756">
      <w:pPr>
        <w:numPr>
          <w:ilvl w:val="0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b/>
          <w:bCs/>
          <w:sz w:val="28"/>
        </w:rPr>
      </w:pPr>
      <w:r w:rsidRPr="00B571F5">
        <w:rPr>
          <w:rFonts w:ascii="標楷體" w:eastAsia="標楷體" w:hAnsi="標楷體" w:hint="eastAsia"/>
          <w:b/>
          <w:bCs/>
          <w:sz w:val="28"/>
        </w:rPr>
        <w:t>技術服務廠商</w:t>
      </w:r>
      <w:r w:rsidR="00D8445B">
        <w:rPr>
          <w:rFonts w:ascii="標楷體" w:eastAsia="標楷體" w:hAnsi="標楷體" w:hint="eastAsia"/>
          <w:b/>
          <w:bCs/>
          <w:sz w:val="28"/>
        </w:rPr>
        <w:t>之</w:t>
      </w:r>
      <w:r w:rsidRPr="00B571F5">
        <w:rPr>
          <w:rFonts w:ascii="標楷體" w:eastAsia="標楷體" w:hAnsi="標楷體" w:hint="eastAsia"/>
          <w:b/>
          <w:bCs/>
          <w:sz w:val="28"/>
        </w:rPr>
        <w:t>評選</w:t>
      </w:r>
      <w:r w:rsidR="00D8445B">
        <w:rPr>
          <w:rFonts w:ascii="標楷體" w:eastAsia="標楷體" w:hAnsi="標楷體" w:hint="eastAsia"/>
          <w:b/>
          <w:bCs/>
          <w:sz w:val="28"/>
        </w:rPr>
        <w:t>及計費</w:t>
      </w:r>
    </w:p>
    <w:p w14:paraId="7096A31B" w14:textId="77777777" w:rsidR="00D8445B" w:rsidRDefault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技術服務採購之定義及機關得委託技術廠商辦理之服務項目</w:t>
      </w:r>
    </w:p>
    <w:p w14:paraId="5DFC32AD" w14:textId="77777777" w:rsidR="00D8445B" w:rsidRDefault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技術服務採購之特性與政府採購法之規定</w:t>
      </w:r>
    </w:p>
    <w:p w14:paraId="2F30F808" w14:textId="77777777" w:rsidR="00D8445B" w:rsidRDefault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技術服務廠商及其服務業別</w:t>
      </w:r>
      <w:proofErr w:type="gramStart"/>
      <w:r>
        <w:rPr>
          <w:rFonts w:ascii="標楷體" w:eastAsia="標楷體" w:hAnsi="標楷體" w:hint="eastAsia"/>
          <w:sz w:val="28"/>
        </w:rPr>
        <w:t>之</w:t>
      </w:r>
      <w:proofErr w:type="gramEnd"/>
      <w:r>
        <w:rPr>
          <w:rFonts w:ascii="標楷體" w:eastAsia="標楷體" w:hAnsi="標楷體" w:hint="eastAsia"/>
          <w:sz w:val="28"/>
        </w:rPr>
        <w:t>規定</w:t>
      </w:r>
    </w:p>
    <w:p w14:paraId="04A814F0" w14:textId="46DD6B27" w:rsidR="00D8445B" w:rsidRDefault="00F3201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如何選擇優良之</w:t>
      </w:r>
      <w:r w:rsidR="00D8445B">
        <w:rPr>
          <w:rFonts w:ascii="標楷體" w:eastAsia="標楷體" w:hAnsi="標楷體" w:hint="eastAsia"/>
          <w:sz w:val="28"/>
        </w:rPr>
        <w:t>技術服務廠商</w:t>
      </w:r>
      <w:r w:rsidR="00D871C8">
        <w:rPr>
          <w:rFonts w:ascii="標楷體" w:eastAsia="標楷體" w:hAnsi="標楷體" w:hint="eastAsia"/>
          <w:sz w:val="28"/>
        </w:rPr>
        <w:t>（</w:t>
      </w:r>
      <w:r w:rsidR="00C85307">
        <w:rPr>
          <w:rFonts w:ascii="標楷體" w:eastAsia="標楷體" w:hAnsi="標楷體" w:hint="eastAsia"/>
          <w:sz w:val="28"/>
        </w:rPr>
        <w:t>含</w:t>
      </w:r>
      <w:r w:rsidR="00D871C8">
        <w:rPr>
          <w:rFonts w:ascii="標楷體" w:eastAsia="標楷體" w:hAnsi="標楷體" w:hint="eastAsia"/>
          <w:sz w:val="28"/>
        </w:rPr>
        <w:t>同</w:t>
      </w:r>
      <w:r w:rsidR="00C85307">
        <w:rPr>
          <w:rFonts w:ascii="標楷體" w:eastAsia="標楷體" w:hAnsi="標楷體" w:hint="eastAsia"/>
          <w:sz w:val="28"/>
        </w:rPr>
        <w:t>分同</w:t>
      </w:r>
      <w:r w:rsidR="00D871C8">
        <w:rPr>
          <w:rFonts w:ascii="標楷體" w:eastAsia="標楷體" w:hAnsi="標楷體" w:hint="eastAsia"/>
          <w:sz w:val="28"/>
        </w:rPr>
        <w:t>序位優勝廠商之處理）</w:t>
      </w:r>
    </w:p>
    <w:p w14:paraId="3F380059" w14:textId="77777777" w:rsidR="00D8445B" w:rsidRDefault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技術服務之計費方式及規定</w:t>
      </w:r>
    </w:p>
    <w:p w14:paraId="627222E8" w14:textId="77777777" w:rsidR="00D26756" w:rsidRDefault="00D8445B" w:rsidP="00D8445B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技術服務採購之履約管理</w:t>
      </w:r>
    </w:p>
    <w:p w14:paraId="4FB2108C" w14:textId="77777777" w:rsidR="004743FE" w:rsidRPr="00B571F5" w:rsidRDefault="004743FE">
      <w:pPr>
        <w:snapToGrid w:val="0"/>
        <w:spacing w:line="300" w:lineRule="auto"/>
        <w:ind w:left="960"/>
        <w:jc w:val="both"/>
        <w:rPr>
          <w:rFonts w:ascii="標楷體" w:eastAsia="標楷體" w:hAnsi="標楷體"/>
          <w:sz w:val="28"/>
        </w:rPr>
      </w:pPr>
    </w:p>
    <w:p w14:paraId="7D31A4C5" w14:textId="77777777" w:rsidR="00D26756" w:rsidRPr="00B571F5" w:rsidRDefault="00D26756">
      <w:pPr>
        <w:numPr>
          <w:ilvl w:val="0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b/>
          <w:bCs/>
          <w:sz w:val="28"/>
        </w:rPr>
      </w:pPr>
      <w:r w:rsidRPr="00B571F5">
        <w:rPr>
          <w:rFonts w:ascii="標楷體" w:eastAsia="標楷體" w:hAnsi="標楷體" w:hint="eastAsia"/>
          <w:b/>
          <w:bCs/>
          <w:sz w:val="28"/>
        </w:rPr>
        <w:t>可能發生之</w:t>
      </w:r>
      <w:r w:rsidR="00F32016">
        <w:rPr>
          <w:rFonts w:ascii="標楷體" w:eastAsia="標楷體" w:hAnsi="標楷體" w:hint="eastAsia"/>
          <w:b/>
          <w:bCs/>
          <w:sz w:val="28"/>
        </w:rPr>
        <w:t>爭議或違</w:t>
      </w:r>
      <w:proofErr w:type="gramStart"/>
      <w:r w:rsidR="00F32016">
        <w:rPr>
          <w:rFonts w:ascii="標楷體" w:eastAsia="標楷體" w:hAnsi="標楷體" w:hint="eastAsia"/>
          <w:b/>
          <w:bCs/>
          <w:sz w:val="28"/>
        </w:rPr>
        <w:t>失</w:t>
      </w:r>
      <w:r w:rsidR="00CF2F61">
        <w:rPr>
          <w:rFonts w:ascii="標楷體" w:eastAsia="標楷體" w:hAnsi="標楷體" w:hint="eastAsia"/>
          <w:b/>
          <w:bCs/>
          <w:sz w:val="28"/>
        </w:rPr>
        <w:t>態樣</w:t>
      </w:r>
      <w:r w:rsidRPr="00B571F5">
        <w:rPr>
          <w:rFonts w:ascii="標楷體" w:eastAsia="標楷體" w:hAnsi="標楷體" w:hint="eastAsia"/>
          <w:b/>
          <w:bCs/>
          <w:sz w:val="28"/>
        </w:rPr>
        <w:t>及因應</w:t>
      </w:r>
      <w:proofErr w:type="gramEnd"/>
      <w:r w:rsidRPr="00B571F5">
        <w:rPr>
          <w:rFonts w:ascii="標楷體" w:eastAsia="標楷體" w:hAnsi="標楷體" w:hint="eastAsia"/>
          <w:b/>
          <w:bCs/>
          <w:sz w:val="28"/>
        </w:rPr>
        <w:t>作法</w:t>
      </w:r>
    </w:p>
    <w:p w14:paraId="748B1891" w14:textId="6AF0808A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規劃設計</w:t>
      </w:r>
      <w:r w:rsidR="00D11E27">
        <w:rPr>
          <w:rFonts w:ascii="標楷體" w:eastAsia="標楷體" w:hAnsi="標楷體" w:hint="eastAsia"/>
          <w:sz w:val="28"/>
        </w:rPr>
        <w:t>（含</w:t>
      </w:r>
      <w:r w:rsidR="00D871C8" w:rsidRPr="00D871C8">
        <w:rPr>
          <w:rFonts w:ascii="標楷體" w:eastAsia="標楷體" w:hAnsi="標楷體"/>
          <w:sz w:val="28"/>
        </w:rPr>
        <w:t>限制競爭、技術規格綁標</w:t>
      </w:r>
      <w:r w:rsidR="00D11E27">
        <w:rPr>
          <w:rFonts w:ascii="標楷體" w:eastAsia="標楷體" w:hAnsi="標楷體" w:hint="eastAsia"/>
          <w:sz w:val="28"/>
        </w:rPr>
        <w:t>）</w:t>
      </w:r>
    </w:p>
    <w:p w14:paraId="173A6E63" w14:textId="3E3EA4C3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預算編列</w:t>
      </w:r>
      <w:r w:rsidR="00D871C8">
        <w:rPr>
          <w:rFonts w:ascii="標楷體" w:eastAsia="標楷體" w:hAnsi="標楷體" w:hint="eastAsia"/>
          <w:sz w:val="28"/>
        </w:rPr>
        <w:t>與物價波動因應</w:t>
      </w:r>
    </w:p>
    <w:p w14:paraId="37A97B3F" w14:textId="2EF45A33" w:rsidR="00D26756" w:rsidRPr="00B571F5" w:rsidRDefault="00CF2F61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招標、審標、決標</w:t>
      </w:r>
      <w:r w:rsidR="00D11E27">
        <w:rPr>
          <w:rFonts w:ascii="標楷體" w:eastAsia="標楷體" w:hAnsi="標楷體" w:hint="eastAsia"/>
          <w:sz w:val="28"/>
        </w:rPr>
        <w:t>（含流廢標）</w:t>
      </w:r>
      <w:r w:rsidR="00D871C8">
        <w:rPr>
          <w:rFonts w:ascii="標楷體" w:eastAsia="標楷體" w:hAnsi="標楷體" w:hint="eastAsia"/>
          <w:sz w:val="28"/>
        </w:rPr>
        <w:t>及</w:t>
      </w:r>
      <w:r>
        <w:rPr>
          <w:rFonts w:ascii="標楷體" w:eastAsia="標楷體" w:hAnsi="標楷體" w:hint="eastAsia"/>
          <w:sz w:val="28"/>
        </w:rPr>
        <w:t>簽約</w:t>
      </w:r>
      <w:r w:rsidR="00D26756" w:rsidRPr="00B571F5">
        <w:rPr>
          <w:rFonts w:ascii="標楷體" w:eastAsia="標楷體" w:hAnsi="標楷體" w:hint="eastAsia"/>
          <w:sz w:val="28"/>
        </w:rPr>
        <w:t>作業</w:t>
      </w:r>
    </w:p>
    <w:p w14:paraId="7BE9EAF6" w14:textId="77777777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履約管理</w:t>
      </w:r>
    </w:p>
    <w:p w14:paraId="57E7DFB8" w14:textId="77777777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施工監造</w:t>
      </w:r>
    </w:p>
    <w:p w14:paraId="757E7586" w14:textId="6D20F8C1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估驗計價</w:t>
      </w:r>
      <w:r w:rsidR="00D871C8">
        <w:rPr>
          <w:rFonts w:ascii="標楷體" w:eastAsia="標楷體" w:hAnsi="標楷體" w:hint="eastAsia"/>
          <w:sz w:val="28"/>
        </w:rPr>
        <w:t>與付款</w:t>
      </w:r>
      <w:r w:rsidR="00C85307">
        <w:rPr>
          <w:rFonts w:ascii="標楷體" w:eastAsia="標楷體" w:hAnsi="標楷體" w:hint="eastAsia"/>
          <w:sz w:val="28"/>
        </w:rPr>
        <w:t>（含價金之調整）</w:t>
      </w:r>
    </w:p>
    <w:p w14:paraId="0F6F9429" w14:textId="77777777" w:rsidR="00D26756" w:rsidRPr="00B571F5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品質控管</w:t>
      </w:r>
    </w:p>
    <w:p w14:paraId="4693B3BF" w14:textId="385B07AA" w:rsidR="00D26756" w:rsidRPr="00B571F5" w:rsidRDefault="00CF2F61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竣工</w:t>
      </w:r>
      <w:r w:rsidR="00436894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初驗</w:t>
      </w:r>
      <w:r w:rsidR="00436894">
        <w:rPr>
          <w:rFonts w:ascii="標楷體" w:eastAsia="標楷體" w:hAnsi="標楷體" w:hint="eastAsia"/>
          <w:sz w:val="28"/>
        </w:rPr>
        <w:t>、</w:t>
      </w:r>
      <w:r w:rsidR="00D26756" w:rsidRPr="00B571F5">
        <w:rPr>
          <w:rFonts w:ascii="標楷體" w:eastAsia="標楷體" w:hAnsi="標楷體" w:hint="eastAsia"/>
          <w:sz w:val="28"/>
        </w:rPr>
        <w:t>驗收</w:t>
      </w:r>
      <w:r w:rsidR="00436894">
        <w:rPr>
          <w:rFonts w:ascii="標楷體" w:eastAsia="標楷體" w:hAnsi="標楷體" w:hint="eastAsia"/>
          <w:sz w:val="28"/>
        </w:rPr>
        <w:t>與</w:t>
      </w:r>
      <w:r w:rsidR="00D26756" w:rsidRPr="00B571F5">
        <w:rPr>
          <w:rFonts w:ascii="標楷體" w:eastAsia="標楷體" w:hAnsi="標楷體" w:hint="eastAsia"/>
          <w:sz w:val="28"/>
        </w:rPr>
        <w:t>結算</w:t>
      </w:r>
    </w:p>
    <w:p w14:paraId="2B6391D6" w14:textId="215282D9" w:rsidR="00D26756" w:rsidRDefault="00D26756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保固</w:t>
      </w:r>
      <w:r w:rsidR="00436894">
        <w:rPr>
          <w:rFonts w:ascii="標楷體" w:eastAsia="標楷體" w:hAnsi="標楷體" w:hint="eastAsia"/>
          <w:sz w:val="28"/>
        </w:rPr>
        <w:t>、</w:t>
      </w:r>
      <w:r w:rsidRPr="00B571F5">
        <w:rPr>
          <w:rFonts w:ascii="標楷體" w:eastAsia="標楷體" w:hAnsi="標楷體" w:hint="eastAsia"/>
          <w:sz w:val="28"/>
        </w:rPr>
        <w:t>維修</w:t>
      </w:r>
      <w:r w:rsidR="00436894">
        <w:rPr>
          <w:rFonts w:ascii="標楷體" w:eastAsia="標楷體" w:hAnsi="標楷體" w:hint="eastAsia"/>
          <w:sz w:val="28"/>
        </w:rPr>
        <w:t>與</w:t>
      </w:r>
      <w:r w:rsidR="00CF2F61">
        <w:rPr>
          <w:rFonts w:ascii="標楷體" w:eastAsia="標楷體" w:hAnsi="標楷體" w:hint="eastAsia"/>
          <w:sz w:val="28"/>
        </w:rPr>
        <w:t>保活養護</w:t>
      </w:r>
    </w:p>
    <w:p w14:paraId="25DE845A" w14:textId="77777777" w:rsidR="00D26756" w:rsidRDefault="00D26756">
      <w:pPr>
        <w:snapToGrid w:val="0"/>
        <w:spacing w:line="300" w:lineRule="auto"/>
        <w:ind w:left="480"/>
        <w:jc w:val="both"/>
        <w:rPr>
          <w:rFonts w:ascii="標楷體" w:eastAsia="標楷體" w:hAnsi="標楷體"/>
          <w:sz w:val="28"/>
        </w:rPr>
      </w:pPr>
      <w:r w:rsidRPr="00B571F5">
        <w:rPr>
          <w:rFonts w:ascii="標楷體" w:eastAsia="標楷體" w:hAnsi="標楷體" w:hint="eastAsia"/>
          <w:sz w:val="28"/>
        </w:rPr>
        <w:t>（建議參閱法務部</w:t>
      </w:r>
      <w:smartTag w:uri="urn:schemas-microsoft-com:office:smarttags" w:element="chsdate">
        <w:smartTagPr>
          <w:attr w:name="Year" w:val="1990"/>
          <w:attr w:name="Month" w:val="1"/>
          <w:attr w:name="Day" w:val="15"/>
          <w:attr w:name="IsLunarDate" w:val="False"/>
          <w:attr w:name="IsROCDate" w:val="False"/>
        </w:smartTagPr>
        <w:r w:rsidRPr="00B571F5">
          <w:rPr>
            <w:rFonts w:ascii="標楷體" w:eastAsia="標楷體" w:hAnsi="標楷體" w:hint="eastAsia"/>
            <w:sz w:val="28"/>
          </w:rPr>
          <w:t>90年1月15日</w:t>
        </w:r>
      </w:smartTag>
      <w:r w:rsidRPr="00B571F5">
        <w:rPr>
          <w:rFonts w:ascii="標楷體" w:eastAsia="標楷體" w:hAnsi="標楷體" w:hint="eastAsia"/>
          <w:sz w:val="28"/>
        </w:rPr>
        <w:t>法九十政字第034347號函檢</w:t>
      </w:r>
      <w:r w:rsidRPr="00B571F5">
        <w:rPr>
          <w:rFonts w:ascii="標楷體" w:eastAsia="標楷體" w:hAnsi="標楷體" w:hint="eastAsia"/>
          <w:sz w:val="28"/>
        </w:rPr>
        <w:lastRenderedPageBreak/>
        <w:t>送之「機關辦理工程採購案件可能發生之弊失型態與因應作法調查</w:t>
      </w:r>
      <w:proofErr w:type="gramStart"/>
      <w:r w:rsidRPr="00B571F5">
        <w:rPr>
          <w:rFonts w:ascii="標楷體" w:eastAsia="標楷體" w:hAnsi="標楷體" w:hint="eastAsia"/>
          <w:sz w:val="28"/>
        </w:rPr>
        <w:t>研析專報</w:t>
      </w:r>
      <w:proofErr w:type="gramEnd"/>
      <w:r w:rsidRPr="00B571F5">
        <w:rPr>
          <w:rFonts w:ascii="標楷體" w:eastAsia="標楷體" w:hAnsi="標楷體" w:hint="eastAsia"/>
          <w:sz w:val="28"/>
        </w:rPr>
        <w:t>」</w:t>
      </w:r>
      <w:r w:rsidR="00154B03">
        <w:rPr>
          <w:rFonts w:ascii="標楷體" w:eastAsia="標楷體" w:hAnsi="標楷體" w:hint="eastAsia"/>
          <w:sz w:val="28"/>
        </w:rPr>
        <w:t>、</w:t>
      </w:r>
      <w:r w:rsidR="00154B03" w:rsidRPr="00154B03">
        <w:rPr>
          <w:rFonts w:ascii="標楷體" w:eastAsia="標楷體" w:hAnsi="標楷體" w:hint="eastAsia"/>
          <w:sz w:val="28"/>
        </w:rPr>
        <w:t>90</w:t>
      </w:r>
      <w:r w:rsidR="00154B03">
        <w:rPr>
          <w:rFonts w:ascii="標楷體" w:eastAsia="標楷體" w:hAnsi="標楷體" w:hint="eastAsia"/>
          <w:sz w:val="28"/>
        </w:rPr>
        <w:t>年</w:t>
      </w:r>
      <w:r w:rsidR="00154B03" w:rsidRPr="00154B03">
        <w:rPr>
          <w:rFonts w:ascii="標楷體" w:eastAsia="標楷體" w:hAnsi="標楷體" w:hint="eastAsia"/>
          <w:sz w:val="28"/>
        </w:rPr>
        <w:t>3</w:t>
      </w:r>
      <w:r w:rsidR="00154B03">
        <w:rPr>
          <w:rFonts w:ascii="標楷體" w:eastAsia="標楷體" w:hAnsi="標楷體" w:hint="eastAsia"/>
          <w:sz w:val="28"/>
        </w:rPr>
        <w:t>月</w:t>
      </w:r>
      <w:r w:rsidR="00154B03" w:rsidRPr="00154B03">
        <w:rPr>
          <w:rFonts w:ascii="標楷體" w:eastAsia="標楷體" w:hAnsi="標楷體" w:hint="eastAsia"/>
          <w:sz w:val="28"/>
        </w:rPr>
        <w:t>20</w:t>
      </w:r>
      <w:r w:rsidR="00154B03">
        <w:rPr>
          <w:rFonts w:ascii="標楷體" w:eastAsia="標楷體" w:hAnsi="標楷體" w:hint="eastAsia"/>
          <w:sz w:val="28"/>
        </w:rPr>
        <w:t>日</w:t>
      </w:r>
      <w:r w:rsidR="00154B03" w:rsidRPr="00154B03">
        <w:rPr>
          <w:rFonts w:ascii="標楷體" w:eastAsia="標楷體" w:hAnsi="標楷體" w:hint="eastAsia"/>
          <w:sz w:val="28"/>
        </w:rPr>
        <w:t>法九十政字第005261號函</w:t>
      </w:r>
      <w:r w:rsidRPr="00B571F5">
        <w:rPr>
          <w:rFonts w:ascii="標楷體" w:eastAsia="標楷體" w:hAnsi="標楷體" w:hint="eastAsia"/>
          <w:sz w:val="28"/>
        </w:rPr>
        <w:t>）</w:t>
      </w:r>
    </w:p>
    <w:p w14:paraId="648840B8" w14:textId="395E7200" w:rsidR="00E445D1" w:rsidRDefault="00C55FDB" w:rsidP="00EE2BC0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契約約定之</w:t>
      </w:r>
      <w:r w:rsidR="00810F2E">
        <w:rPr>
          <w:rFonts w:ascii="標楷體" w:eastAsia="標楷體" w:hAnsi="標楷體" w:hint="eastAsia"/>
          <w:sz w:val="28"/>
        </w:rPr>
        <w:t>履約管理</w:t>
      </w:r>
      <w:r>
        <w:rPr>
          <w:rFonts w:ascii="標楷體" w:eastAsia="標楷體" w:hAnsi="標楷體" w:hint="eastAsia"/>
          <w:sz w:val="28"/>
        </w:rPr>
        <w:t>文書作業</w:t>
      </w:r>
      <w:proofErr w:type="gramStart"/>
      <w:r>
        <w:rPr>
          <w:rFonts w:ascii="標楷體" w:eastAsia="標楷體" w:hAnsi="標楷體" w:hint="eastAsia"/>
          <w:sz w:val="28"/>
        </w:rPr>
        <w:t>（</w:t>
      </w:r>
      <w:proofErr w:type="gramEnd"/>
      <w:r>
        <w:rPr>
          <w:rFonts w:ascii="標楷體" w:eastAsia="標楷體" w:hAnsi="標楷體" w:hint="eastAsia"/>
          <w:sz w:val="28"/>
        </w:rPr>
        <w:t>例如：履約期間提送之工作月報、</w:t>
      </w:r>
      <w:r w:rsidR="00401717">
        <w:rPr>
          <w:rFonts w:ascii="標楷體" w:eastAsia="標楷體" w:hAnsi="標楷體" w:hint="eastAsia"/>
          <w:sz w:val="28"/>
        </w:rPr>
        <w:t>服務實施計畫書</w:t>
      </w:r>
      <w:r>
        <w:rPr>
          <w:rFonts w:ascii="標楷體" w:eastAsia="標楷體" w:hAnsi="標楷體" w:hint="eastAsia"/>
          <w:sz w:val="28"/>
        </w:rPr>
        <w:t>等</w:t>
      </w:r>
      <w:proofErr w:type="gramStart"/>
      <w:r>
        <w:rPr>
          <w:rFonts w:ascii="標楷體" w:eastAsia="標楷體" w:hAnsi="標楷體" w:hint="eastAsia"/>
          <w:sz w:val="28"/>
        </w:rPr>
        <w:t>）</w:t>
      </w:r>
      <w:proofErr w:type="gramEnd"/>
      <w:r>
        <w:rPr>
          <w:rFonts w:ascii="標楷體" w:eastAsia="標楷體" w:hAnsi="標楷體" w:hint="eastAsia"/>
          <w:sz w:val="28"/>
        </w:rPr>
        <w:t>逾期提送之處置</w:t>
      </w:r>
    </w:p>
    <w:p w14:paraId="5A27AC62" w14:textId="77777777" w:rsidR="00E445D1" w:rsidRDefault="00CA57D4" w:rsidP="00EE2BC0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CA57D4">
        <w:rPr>
          <w:rFonts w:ascii="標楷體" w:eastAsia="標楷體" w:hAnsi="標楷體" w:hint="eastAsia"/>
          <w:sz w:val="28"/>
        </w:rPr>
        <w:t>機關人員（含廠商人員）採購弊端案例</w:t>
      </w:r>
      <w:r>
        <w:rPr>
          <w:rFonts w:ascii="標楷體" w:eastAsia="標楷體" w:hAnsi="標楷體" w:hint="eastAsia"/>
          <w:sz w:val="28"/>
        </w:rPr>
        <w:t>（</w:t>
      </w:r>
      <w:r w:rsidR="003F042D">
        <w:rPr>
          <w:rFonts w:ascii="標楷體" w:eastAsia="標楷體" w:hAnsi="標楷體" w:hint="eastAsia"/>
          <w:sz w:val="28"/>
        </w:rPr>
        <w:t>工程會</w:t>
      </w:r>
      <w:r>
        <w:rPr>
          <w:rFonts w:ascii="標楷體" w:eastAsia="標楷體" w:hAnsi="標楷體" w:hint="eastAsia"/>
          <w:sz w:val="28"/>
        </w:rPr>
        <w:t>全球資訊網</w:t>
      </w:r>
      <w:r w:rsidRPr="00CA57D4">
        <w:rPr>
          <w:rFonts w:ascii="標楷體" w:eastAsia="標楷體" w:hAnsi="標楷體" w:hint="eastAsia"/>
          <w:sz w:val="28"/>
        </w:rPr>
        <w:t>首頁&gt;服務園地&gt;教育訓練&gt;案例資料庫&gt;採購弊端案例</w:t>
      </w:r>
      <w:r>
        <w:rPr>
          <w:rFonts w:ascii="標楷體" w:eastAsia="標楷體" w:hAnsi="標楷體" w:hint="eastAsia"/>
          <w:sz w:val="28"/>
        </w:rPr>
        <w:t>）</w:t>
      </w:r>
    </w:p>
    <w:p w14:paraId="3F0D07C4" w14:textId="77777777" w:rsidR="006F641B" w:rsidRDefault="006F641B">
      <w:pPr>
        <w:snapToGrid w:val="0"/>
        <w:spacing w:line="300" w:lineRule="auto"/>
        <w:ind w:left="480"/>
        <w:jc w:val="both"/>
        <w:rPr>
          <w:rFonts w:ascii="標楷體" w:eastAsia="標楷體" w:hAnsi="標楷體"/>
          <w:sz w:val="28"/>
        </w:rPr>
      </w:pPr>
    </w:p>
    <w:p w14:paraId="71EFADB6" w14:textId="77777777" w:rsidR="00A01AC4" w:rsidRPr="00A01AC4" w:rsidRDefault="00A01AC4" w:rsidP="00A01AC4">
      <w:pPr>
        <w:numPr>
          <w:ilvl w:val="0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b/>
          <w:bCs/>
          <w:sz w:val="28"/>
        </w:rPr>
      </w:pPr>
      <w:r w:rsidRPr="00A01AC4">
        <w:rPr>
          <w:rFonts w:ascii="標楷體" w:eastAsia="標楷體" w:hAnsi="標楷體" w:hint="eastAsia"/>
          <w:b/>
          <w:bCs/>
          <w:sz w:val="28"/>
        </w:rPr>
        <w:t>工程倫理簡介</w:t>
      </w:r>
    </w:p>
    <w:p w14:paraId="12E81236" w14:textId="77777777" w:rsidR="00A01AC4" w:rsidRPr="00A01AC4" w:rsidRDefault="00A01AC4" w:rsidP="00A01AC4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工程倫理概要</w:t>
      </w:r>
    </w:p>
    <w:p w14:paraId="6C0F5517" w14:textId="6C3CA402" w:rsidR="00E445D1" w:rsidRDefault="00A01AC4" w:rsidP="00EE2BC0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A01AC4">
        <w:rPr>
          <w:rFonts w:ascii="標楷體" w:eastAsia="標楷體" w:hAnsi="標楷體" w:hint="eastAsia"/>
          <w:sz w:val="28"/>
        </w:rPr>
        <w:t>工程倫理守則</w:t>
      </w:r>
    </w:p>
    <w:p w14:paraId="23404B65" w14:textId="6D6CC8CD" w:rsidR="00E445D1" w:rsidRDefault="00A01AC4" w:rsidP="00EE2BC0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A01AC4">
        <w:rPr>
          <w:rFonts w:ascii="標楷體" w:eastAsia="標楷體" w:hAnsi="標楷體" w:hint="eastAsia"/>
          <w:sz w:val="28"/>
        </w:rPr>
        <w:t>中國工程師信條(中國工程師學會)</w:t>
      </w:r>
    </w:p>
    <w:p w14:paraId="749914DD" w14:textId="016045DB" w:rsidR="00E445D1" w:rsidRDefault="00A01AC4" w:rsidP="00EE2BC0">
      <w:pPr>
        <w:numPr>
          <w:ilvl w:val="1"/>
          <w:numId w:val="1"/>
        </w:numPr>
        <w:snapToGrid w:val="0"/>
        <w:spacing w:line="300" w:lineRule="auto"/>
        <w:jc w:val="both"/>
        <w:rPr>
          <w:rFonts w:ascii="標楷體" w:eastAsia="標楷體" w:hAnsi="標楷體"/>
          <w:sz w:val="28"/>
        </w:rPr>
      </w:pPr>
      <w:r w:rsidRPr="00A01AC4">
        <w:rPr>
          <w:rFonts w:ascii="標楷體" w:eastAsia="標楷體" w:hAnsi="標楷體" w:hint="eastAsia"/>
          <w:sz w:val="28"/>
        </w:rPr>
        <w:t>工程倫理案例</w:t>
      </w:r>
    </w:p>
    <w:p w14:paraId="2FC264D0" w14:textId="77777777" w:rsidR="00393D52" w:rsidRPr="00393D52" w:rsidRDefault="00393D52" w:rsidP="00CF7DFF">
      <w:pPr>
        <w:snapToGrid w:val="0"/>
        <w:spacing w:line="300" w:lineRule="auto"/>
        <w:ind w:leftChars="500" w:left="1200"/>
        <w:jc w:val="both"/>
      </w:pPr>
    </w:p>
    <w:sectPr w:rsidR="00393D52" w:rsidRPr="00393D52" w:rsidSect="005325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5FAA3" w14:textId="77777777" w:rsidR="007D7181" w:rsidRDefault="007D7181">
      <w:r>
        <w:separator/>
      </w:r>
    </w:p>
  </w:endnote>
  <w:endnote w:type="continuationSeparator" w:id="0">
    <w:p w14:paraId="2F65E5E5" w14:textId="77777777" w:rsidR="007D7181" w:rsidRDefault="007D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823F" w14:textId="77777777" w:rsidR="00275046" w:rsidRDefault="00275046">
    <w:pPr>
      <w:pStyle w:val="a4"/>
      <w:jc w:val="center"/>
    </w:pPr>
    <w:r>
      <w:rPr>
        <w:rStyle w:val="a5"/>
        <w:rFonts w:hint="eastAsia"/>
      </w:rPr>
      <w:tab/>
    </w:r>
    <w:r w:rsidR="00E445D1">
      <w:rPr>
        <w:rStyle w:val="a5"/>
      </w:rPr>
      <w:fldChar w:fldCharType="begin"/>
    </w:r>
    <w:r>
      <w:rPr>
        <w:rStyle w:val="a5"/>
      </w:rPr>
      <w:instrText xml:space="preserve"> PAGE </w:instrText>
    </w:r>
    <w:r w:rsidR="00E445D1">
      <w:rPr>
        <w:rStyle w:val="a5"/>
      </w:rPr>
      <w:fldChar w:fldCharType="separate"/>
    </w:r>
    <w:r w:rsidR="0039056F">
      <w:rPr>
        <w:rStyle w:val="a5"/>
        <w:noProof/>
      </w:rPr>
      <w:t>2</w:t>
    </w:r>
    <w:r w:rsidR="00E445D1">
      <w:rPr>
        <w:rStyle w:val="a5"/>
      </w:rPr>
      <w:fldChar w:fldCharType="end"/>
    </w:r>
    <w:r>
      <w:rPr>
        <w:rStyle w:val="a5"/>
        <w:rFonts w:hint="eastAsia"/>
      </w:rPr>
      <w:t>/</w:t>
    </w:r>
    <w:r w:rsidR="00E445D1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E445D1">
      <w:rPr>
        <w:rStyle w:val="a5"/>
      </w:rPr>
      <w:fldChar w:fldCharType="separate"/>
    </w:r>
    <w:r w:rsidR="0039056F">
      <w:rPr>
        <w:rStyle w:val="a5"/>
        <w:noProof/>
      </w:rPr>
      <w:t>3</w:t>
    </w:r>
    <w:r w:rsidR="00E445D1">
      <w:rPr>
        <w:rStyle w:val="a5"/>
      </w:rPr>
      <w:fldChar w:fldCharType="end"/>
    </w:r>
    <w:r>
      <w:rPr>
        <w:rStyle w:val="a5"/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D77D" w14:textId="77777777" w:rsidR="007D7181" w:rsidRDefault="007D7181">
      <w:r>
        <w:separator/>
      </w:r>
    </w:p>
  </w:footnote>
  <w:footnote w:type="continuationSeparator" w:id="0">
    <w:p w14:paraId="2C27D021" w14:textId="77777777" w:rsidR="007D7181" w:rsidRDefault="007D71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5116B"/>
    <w:multiLevelType w:val="hybridMultilevel"/>
    <w:tmpl w:val="E73ECB52"/>
    <w:lvl w:ilvl="0" w:tplc="A190A0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D7E884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C28697E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13451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56"/>
    <w:rsid w:val="00030C37"/>
    <w:rsid w:val="00033AFE"/>
    <w:rsid w:val="000351DE"/>
    <w:rsid w:val="000408E0"/>
    <w:rsid w:val="00041D54"/>
    <w:rsid w:val="00060538"/>
    <w:rsid w:val="00065BF1"/>
    <w:rsid w:val="0008073A"/>
    <w:rsid w:val="0008400F"/>
    <w:rsid w:val="000871C2"/>
    <w:rsid w:val="000C2A79"/>
    <w:rsid w:val="000F1CFC"/>
    <w:rsid w:val="00112442"/>
    <w:rsid w:val="00143AE0"/>
    <w:rsid w:val="00154B03"/>
    <w:rsid w:val="001C00F8"/>
    <w:rsid w:val="00217765"/>
    <w:rsid w:val="002544A3"/>
    <w:rsid w:val="00275046"/>
    <w:rsid w:val="0027789B"/>
    <w:rsid w:val="002E495B"/>
    <w:rsid w:val="00300E77"/>
    <w:rsid w:val="00307C0C"/>
    <w:rsid w:val="003364E5"/>
    <w:rsid w:val="0039056F"/>
    <w:rsid w:val="00393D52"/>
    <w:rsid w:val="003E1498"/>
    <w:rsid w:val="003F042D"/>
    <w:rsid w:val="00401717"/>
    <w:rsid w:val="00436894"/>
    <w:rsid w:val="00452F94"/>
    <w:rsid w:val="004743FE"/>
    <w:rsid w:val="004C48AC"/>
    <w:rsid w:val="004D3378"/>
    <w:rsid w:val="00514DF1"/>
    <w:rsid w:val="00531D9E"/>
    <w:rsid w:val="00532521"/>
    <w:rsid w:val="00591719"/>
    <w:rsid w:val="00591A03"/>
    <w:rsid w:val="005A4E68"/>
    <w:rsid w:val="005D37F4"/>
    <w:rsid w:val="005E3F46"/>
    <w:rsid w:val="006127E7"/>
    <w:rsid w:val="00677BA0"/>
    <w:rsid w:val="00691C35"/>
    <w:rsid w:val="006C2389"/>
    <w:rsid w:val="006F641B"/>
    <w:rsid w:val="00771FF0"/>
    <w:rsid w:val="00784E2B"/>
    <w:rsid w:val="007970E8"/>
    <w:rsid w:val="00797E71"/>
    <w:rsid w:val="007D7181"/>
    <w:rsid w:val="00810F2E"/>
    <w:rsid w:val="0082000E"/>
    <w:rsid w:val="00824467"/>
    <w:rsid w:val="00840893"/>
    <w:rsid w:val="008771E0"/>
    <w:rsid w:val="008A18C3"/>
    <w:rsid w:val="008A5C39"/>
    <w:rsid w:val="008B3452"/>
    <w:rsid w:val="008C2937"/>
    <w:rsid w:val="00906153"/>
    <w:rsid w:val="00916C9B"/>
    <w:rsid w:val="00993E14"/>
    <w:rsid w:val="009E6E01"/>
    <w:rsid w:val="00A01AC4"/>
    <w:rsid w:val="00A17A72"/>
    <w:rsid w:val="00A46DA0"/>
    <w:rsid w:val="00A503BC"/>
    <w:rsid w:val="00A61FDE"/>
    <w:rsid w:val="00A8103F"/>
    <w:rsid w:val="00AB197C"/>
    <w:rsid w:val="00AB633C"/>
    <w:rsid w:val="00AF627D"/>
    <w:rsid w:val="00B156EC"/>
    <w:rsid w:val="00B15FD2"/>
    <w:rsid w:val="00B325AB"/>
    <w:rsid w:val="00B52930"/>
    <w:rsid w:val="00B571F5"/>
    <w:rsid w:val="00BD7F80"/>
    <w:rsid w:val="00BE5733"/>
    <w:rsid w:val="00BF6AF0"/>
    <w:rsid w:val="00C074EA"/>
    <w:rsid w:val="00C55FDB"/>
    <w:rsid w:val="00C63EF1"/>
    <w:rsid w:val="00C63F39"/>
    <w:rsid w:val="00C85307"/>
    <w:rsid w:val="00CA35F9"/>
    <w:rsid w:val="00CA3B9A"/>
    <w:rsid w:val="00CA57D4"/>
    <w:rsid w:val="00CA5B9A"/>
    <w:rsid w:val="00CB6CB7"/>
    <w:rsid w:val="00CF2F61"/>
    <w:rsid w:val="00CF7DFF"/>
    <w:rsid w:val="00D01565"/>
    <w:rsid w:val="00D11E27"/>
    <w:rsid w:val="00D26756"/>
    <w:rsid w:val="00D505D5"/>
    <w:rsid w:val="00D8445B"/>
    <w:rsid w:val="00D871C8"/>
    <w:rsid w:val="00DF1AB1"/>
    <w:rsid w:val="00E445D1"/>
    <w:rsid w:val="00E83AE3"/>
    <w:rsid w:val="00EB6DE0"/>
    <w:rsid w:val="00EC7CC0"/>
    <w:rsid w:val="00EE2BC0"/>
    <w:rsid w:val="00EF2718"/>
    <w:rsid w:val="00F32016"/>
    <w:rsid w:val="00F366B4"/>
    <w:rsid w:val="00F867CB"/>
    <w:rsid w:val="00F9123A"/>
    <w:rsid w:val="00FB06CE"/>
    <w:rsid w:val="00FB5998"/>
    <w:rsid w:val="00FF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5EB27DFF"/>
  <w15:docId w15:val="{CC8137A2-0800-4E23-BAB4-8FBD5446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5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32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5325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532521"/>
  </w:style>
  <w:style w:type="paragraph" w:styleId="a6">
    <w:name w:val="Balloon Text"/>
    <w:basedOn w:val="a"/>
    <w:semiHidden/>
    <w:rsid w:val="00B571F5"/>
    <w:rPr>
      <w:rFonts w:ascii="Arial" w:hAnsi="Arial"/>
      <w:sz w:val="18"/>
      <w:szCs w:val="18"/>
    </w:rPr>
  </w:style>
  <w:style w:type="paragraph" w:styleId="a7">
    <w:name w:val="Revision"/>
    <w:hidden/>
    <w:uiPriority w:val="99"/>
    <w:semiHidden/>
    <w:rsid w:val="00033A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A36AE-0926-4057-8C78-27389D2AC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153</Words>
  <Characters>878</Characters>
  <Application>Microsoft Office Word</Application>
  <DocSecurity>0</DocSecurity>
  <Lines>7</Lines>
  <Paragraphs>2</Paragraphs>
  <ScaleCrop>false</ScaleCrop>
  <Company>Linux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工程及技術服務採購實務研討</dc:title>
  <dc:creator>Aquarius</dc:creator>
  <cp:lastModifiedBy>企劃處三科-曾安慈(att)</cp:lastModifiedBy>
  <cp:revision>5</cp:revision>
  <cp:lastPrinted>2025-01-16T08:01:00Z</cp:lastPrinted>
  <dcterms:created xsi:type="dcterms:W3CDTF">2026-01-22T08:19:00Z</dcterms:created>
  <dcterms:modified xsi:type="dcterms:W3CDTF">2026-03-12T01:53:00Z</dcterms:modified>
  <cp:category>I30</cp:category>
</cp:coreProperties>
</file>