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ascii="標楷體" w:hAnsi="標楷體" w:eastAsia="標楷體"/>
          <w:sz w:val="32"/>
        </w:rPr>
        <w:t>共同投標辦法第十一條及第十六條</w:t>
      </w:r>
      <w:r>
        <w:rPr/>
        <w:t>修正條文對照表</w:t>
      </w:r>
    </w:p>
    <w:tbl>
      <w:tblPr>
        <w:tblW w:w="9000" w:type="dxa"/>
        <w:jc w:val="left"/>
        <w:tblInd w:w="-33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060"/>
        <w:gridCol w:w="3060"/>
        <w:gridCol w:w="2880"/>
      </w:tblGrid>
      <w:tr>
        <w:trPr/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修正條文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現行條文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說明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/>
              <w:ind w:hanging="1078" w:left="1078" w:right="0"/>
              <w:jc w:val="both"/>
              <w:rPr>
                <w:u w:val="single"/>
              </w:rPr>
            </w:pPr>
            <w:r>
              <w:rPr>
                <w:rFonts w:eastAsia="標楷體"/>
                <w:sz w:val="28"/>
                <w:szCs w:val="20"/>
              </w:rPr>
              <w:t>第十一條</w:t>
            </w:r>
            <w:r>
              <w:rPr>
                <w:rFonts w:eastAsia="Times New Roman"/>
                <w:szCs w:val="20"/>
              </w:rPr>
              <w:t xml:space="preserve">    </w:t>
            </w:r>
            <w:r>
              <w:rPr>
                <w:rFonts w:eastAsia="標楷體"/>
                <w:sz w:val="28"/>
              </w:rPr>
              <w:t>有前條第一項第六款之情事者，共同投標廠商之其他成員得經機關同意，共同提出與該成員原資格條件相當之廠商，共同承擔契約之一切權利義務。</w:t>
            </w:r>
            <w:r>
              <w:rPr>
                <w:rFonts w:eastAsia="標楷體"/>
                <w:sz w:val="28"/>
                <w:u w:val="single"/>
              </w:rPr>
              <w:t>機關非有正當理由，不得拒絕。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/>
              <w:ind w:hanging="1078" w:left="1078" w:right="0"/>
              <w:jc w:val="both"/>
              <w:rPr/>
            </w:pPr>
            <w:r>
              <w:rPr>
                <w:rFonts w:eastAsia="標楷體"/>
                <w:sz w:val="28"/>
                <w:szCs w:val="20"/>
              </w:rPr>
              <w:t>第十一條</w:t>
            </w:r>
            <w:r>
              <w:rPr>
                <w:rFonts w:eastAsia="Times New Roman"/>
                <w:sz w:val="28"/>
                <w:szCs w:val="20"/>
              </w:rPr>
              <w:t xml:space="preserve">    </w:t>
            </w:r>
            <w:r>
              <w:rPr>
                <w:rFonts w:ascii="Verdana" w:hAnsi="Verdana" w:cs="Verdana" w:eastAsia="標楷體"/>
                <w:sz w:val="28"/>
                <w:szCs w:val="18"/>
              </w:rPr>
              <w:t>有前條第一項第六款之情事者，共同投標廠商之其他成員得經機關同意，共同提出與該成員原資格條件相當之廠商，共同承擔契約之一切權利義務。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/>
              <w:jc w:val="both"/>
              <w:rPr/>
            </w:pPr>
            <w:r>
              <w:rPr>
                <w:rFonts w:ascii="Verdana" w:hAnsi="Verdana" w:cs="Verdana" w:eastAsia="標楷體"/>
                <w:sz w:val="28"/>
                <w:szCs w:val="18"/>
              </w:rPr>
              <w:t>增列後段規定，以免機關行使前段不同意權過當，致影響共同投標廠商另覓繼受廠商之權益，且不利於公共利益。所稱</w:t>
            </w:r>
            <w:r>
              <w:rPr>
                <w:rFonts w:eastAsia="標楷體"/>
                <w:sz w:val="28"/>
              </w:rPr>
              <w:t>正當理由，例如</w:t>
            </w:r>
            <w:r>
              <w:rPr>
                <w:rFonts w:ascii="Verdana" w:hAnsi="Verdana" w:cs="Verdana" w:eastAsia="標楷體"/>
                <w:sz w:val="28"/>
                <w:szCs w:val="18"/>
              </w:rPr>
              <w:t>其他成員共同提出之繼受廠商，與被繼受成員原資格條件不相當。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/>
              <w:ind w:hanging="1078" w:left="1078" w:right="0"/>
              <w:jc w:val="both"/>
              <w:rPr>
                <w:rFonts w:eastAsia="標楷體"/>
                <w:sz w:val="28"/>
                <w:szCs w:val="20"/>
              </w:rPr>
            </w:pPr>
            <w:r>
              <w:rPr>
                <w:rFonts w:eastAsia="標楷體"/>
                <w:sz w:val="28"/>
                <w:szCs w:val="20"/>
              </w:rPr>
              <w:t>第十六條</w:t>
            </w:r>
            <w:r>
              <w:rPr>
                <w:rFonts w:eastAsia="Times New Roman"/>
                <w:sz w:val="28"/>
                <w:szCs w:val="20"/>
              </w:rPr>
              <w:t xml:space="preserve">   </w:t>
            </w:r>
            <w:r>
              <w:rPr>
                <w:rFonts w:ascii="標楷體" w:hAnsi="標楷體" w:cs="標楷體" w:eastAsia="標楷體"/>
                <w:color w:val="000000"/>
                <w:sz w:val="28"/>
              </w:rPr>
              <w:t>共同投標廠商</w:t>
            </w:r>
            <w:r>
              <w:rPr>
                <w:rFonts w:ascii="標楷體" w:hAnsi="標楷體" w:cs="標楷體" w:eastAsia="標楷體"/>
                <w:color w:val="000000"/>
                <w:sz w:val="28"/>
                <w:u w:val="single"/>
              </w:rPr>
              <w:t>之成員</w:t>
            </w:r>
            <w:r>
              <w:rPr>
                <w:rFonts w:ascii="標楷體" w:hAnsi="標楷體" w:cs="標楷體" w:eastAsia="標楷體"/>
                <w:color w:val="000000"/>
                <w:sz w:val="28"/>
              </w:rPr>
              <w:t>有本法第一百零一條</w:t>
            </w:r>
            <w:r>
              <w:rPr>
                <w:rFonts w:ascii="標楷體" w:hAnsi="標楷體" w:cs="標楷體" w:eastAsia="標楷體"/>
                <w:color w:val="000000"/>
                <w:sz w:val="28"/>
                <w:u w:val="single"/>
              </w:rPr>
              <w:t>第一項</w:t>
            </w:r>
            <w:r>
              <w:rPr>
                <w:rFonts w:ascii="標楷體" w:hAnsi="標楷體" w:cs="標楷體" w:eastAsia="標楷體"/>
                <w:color w:val="000000"/>
                <w:sz w:val="28"/>
              </w:rPr>
              <w:t>各款情形</w:t>
            </w:r>
            <w:r>
              <w:rPr>
                <w:rFonts w:ascii="標楷體" w:hAnsi="標楷體" w:cs="標楷體" w:eastAsia="標楷體"/>
                <w:color w:val="000000"/>
                <w:sz w:val="28"/>
                <w:u w:val="single"/>
              </w:rPr>
              <w:t>之一者，機關應視可歸責之事由，對各該應負責任之成員個別為通知。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/>
              <w:ind w:hanging="1078" w:left="1078" w:right="0"/>
              <w:jc w:val="both"/>
              <w:rPr>
                <w:rFonts w:eastAsia="標楷體"/>
                <w:sz w:val="28"/>
                <w:szCs w:val="20"/>
              </w:rPr>
            </w:pPr>
            <w:r>
              <w:rPr>
                <w:rFonts w:eastAsia="標楷體"/>
                <w:sz w:val="28"/>
                <w:szCs w:val="20"/>
              </w:rPr>
              <w:t>第十六條</w:t>
            </w:r>
            <w:r>
              <w:rPr>
                <w:rFonts w:eastAsia="Times New Roman"/>
                <w:sz w:val="28"/>
                <w:szCs w:val="20"/>
              </w:rPr>
              <w:t xml:space="preserve">   </w:t>
            </w:r>
            <w:r>
              <w:rPr>
                <w:rFonts w:ascii="Verdana" w:hAnsi="Verdana" w:cs="Verdana" w:eastAsia="標楷體"/>
                <w:sz w:val="28"/>
              </w:rPr>
              <w:t>共同投標廠商</w:t>
            </w:r>
            <w:r>
              <w:rPr>
                <w:rFonts w:ascii="Verdana" w:hAnsi="Verdana" w:cs="Verdana" w:eastAsia="標楷體"/>
                <w:sz w:val="28"/>
                <w:u w:val="single"/>
              </w:rPr>
              <w:t>應負連帶責任之事項</w:t>
            </w:r>
            <w:r>
              <w:rPr>
                <w:rFonts w:ascii="Verdana" w:hAnsi="Verdana" w:cs="Verdana" w:eastAsia="標楷體"/>
                <w:sz w:val="28"/>
              </w:rPr>
              <w:t>有本法第一百零一條各款</w:t>
            </w:r>
            <w:r>
              <w:rPr>
                <w:rFonts w:ascii="Verdana" w:hAnsi="Verdana" w:cs="Verdana" w:eastAsia="標楷體"/>
                <w:sz w:val="28"/>
                <w:u w:val="single"/>
              </w:rPr>
              <w:t>所列</w:t>
            </w:r>
            <w:r>
              <w:rPr>
                <w:rFonts w:ascii="Verdana" w:hAnsi="Verdana" w:cs="Verdana" w:eastAsia="標楷體"/>
                <w:sz w:val="28"/>
              </w:rPr>
              <w:t>情形，</w:t>
            </w:r>
            <w:r>
              <w:rPr>
                <w:rFonts w:ascii="Verdana" w:hAnsi="Verdana" w:cs="Verdana" w:eastAsia="標楷體"/>
                <w:sz w:val="28"/>
                <w:u w:val="single"/>
              </w:rPr>
              <w:t>依本法第一百零二條第三項應刊登政府採購公報者，應刊登全體成員名稱。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/>
              <w:jc w:val="both"/>
              <w:rPr/>
            </w:pPr>
            <w:r>
              <w:rPr>
                <w:rFonts w:ascii="標楷體" w:hAnsi="標楷體" w:cs="標楷體" w:eastAsia="標楷體"/>
                <w:sz w:val="28"/>
                <w:szCs w:val="18"/>
              </w:rPr>
              <w:t>本法第二十五條係明定</w:t>
            </w:r>
            <w:r>
              <w:rPr>
                <w:rFonts w:ascii="Verdana" w:hAnsi="Verdana" w:cs="Verdana" w:eastAsia="標楷體"/>
                <w:sz w:val="28"/>
              </w:rPr>
              <w:t>共同投標廠商應連帶負履行採購契約之責，如共同投標廠商個別成員行為有本法第一百零一條各款所列情形，依現行規定刊登全體成員名稱，不符合</w:t>
            </w:r>
            <w:r>
              <w:rPr>
                <w:rFonts w:ascii="標楷體" w:hAnsi="標楷體" w:cs="標楷體" w:eastAsia="標楷體"/>
                <w:sz w:val="28"/>
                <w:szCs w:val="18"/>
              </w:rPr>
              <w:t>本法第二十五條</w:t>
            </w:r>
            <w:r>
              <w:rPr>
                <w:rFonts w:ascii="Verdana" w:hAnsi="Verdana" w:cs="Verdana" w:eastAsia="標楷體"/>
                <w:sz w:val="28"/>
              </w:rPr>
              <w:t>立法意旨，</w:t>
            </w:r>
            <w:r>
              <w:rPr>
                <w:rFonts w:ascii="標楷體" w:hAnsi="標楷體" w:cs="標楷體" w:eastAsia="標楷體"/>
                <w:sz w:val="28"/>
                <w:szCs w:val="18"/>
              </w:rPr>
              <w:t>爲避免上開</w:t>
            </w:r>
            <w:r>
              <w:rPr>
                <w:rFonts w:ascii="Verdana" w:hAnsi="Verdana" w:cs="Verdana" w:eastAsia="標楷體"/>
                <w:sz w:val="28"/>
              </w:rPr>
              <w:t>情形，爰</w:t>
            </w:r>
            <w:r>
              <w:rPr>
                <w:rFonts w:eastAsia="標楷體"/>
                <w:sz w:val="28"/>
              </w:rPr>
              <w:t>修正為</w:t>
            </w:r>
            <w:r>
              <w:rPr>
                <w:rFonts w:ascii="標楷體" w:hAnsi="標楷體" w:cs="標楷體" w:eastAsia="標楷體"/>
                <w:color w:val="000000"/>
                <w:sz w:val="28"/>
              </w:rPr>
              <w:t>應視可歸責之事由，對各該應負責任之成員個別為通知</w:t>
            </w:r>
            <w:r>
              <w:rPr>
                <w:rFonts w:eastAsia="標楷體"/>
                <w:sz w:val="28"/>
              </w:rPr>
              <w:t>。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gutter="0" w:header="0" w:top="899" w:footer="0" w:bottom="125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script"/>
    <w:pitch w:val="default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Lucida Sans"/>
        <w:sz w:val="24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新細明體;PMingLiU" w:cs="Times New Roman"/>
      <w:color w:val="auto"/>
      <w:kern w:val="2"/>
      <w:sz w:val="24"/>
      <w:szCs w:val="24"/>
      <w:lang w:val="en-US" w:eastAsia="zh-TW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Style14">
    <w:name w:val="預設段落字型"/>
    <w:qFormat/>
    <w:rPr/>
  </w:style>
  <w:style w:type="paragraph" w:styleId="Style15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思源黑體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pPr>
      <w:spacing w:lineRule="atLeast" w:line="0"/>
      <w:ind w:hanging="1078" w:left="2758" w:right="0"/>
    </w:pPr>
    <w:rPr>
      <w:rFonts w:eastAsia="標楷體"/>
      <w:sz w:val="28"/>
    </w:rPr>
  </w:style>
  <w:style w:type="paragraph" w:styleId="Style17">
    <w:name w:val="表格內容"/>
    <w:basedOn w:val="Normal"/>
    <w:qFormat/>
    <w:pPr>
      <w:widowControl w:val="false"/>
      <w:suppressLineNumbers/>
    </w:pPr>
    <w:rPr/>
  </w:style>
  <w:style w:type="paragraph" w:styleId="Style18">
    <w:name w:val="表格標題"/>
    <w:basedOn w:val="Style1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LibreOffice/25.2.0.3$Windows_X86_64 LibreOffice_project/e1cf4a87eb02d755bce1a01209907ea5ddc8f069</Application>
  <AppVersion>15.0000</AppVersion>
  <Pages>1</Pages>
  <Words>524</Words>
  <Characters>524</Characters>
  <CharactersWithSpaces>538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2007-05-17T17:04:00Z</dcterms:created>
  <dc:creator> </dc:creator>
  <dc:description/>
  <dc:language>zh-TW</dc:language>
  <cp:lastModifiedBy> </cp:lastModifiedBy>
  <cp:lastPrinted>2007-05-15T14:24:00Z</cp:lastPrinted>
  <dcterms:modified xsi:type="dcterms:W3CDTF">2007-05-17T17:04:00Z</dcterms:modified>
  <cp:revision>2</cp:revision>
  <dc:subject/>
  <dc:title>共同投標辦法第十一條及第十六條修正草案條文對照表</dc:title>
</cp:coreProperties>
</file>