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Pr="007F2441" w:rsidRDefault="00DB2E1F" w:rsidP="00BE0679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2441">
        <w:rPr>
          <w:rFonts w:ascii="標楷體" w:eastAsia="標楷體" w:hAnsi="標楷體" w:hint="eastAsia"/>
          <w:b/>
          <w:sz w:val="28"/>
          <w:szCs w:val="28"/>
        </w:rPr>
        <w:t>「</w:t>
      </w:r>
      <w:r w:rsidR="00D477F3">
        <w:rPr>
          <w:rFonts w:ascii="標楷體" w:eastAsia="標楷體" w:hAnsi="標楷體" w:hint="eastAsia"/>
          <w:b/>
          <w:sz w:val="28"/>
          <w:szCs w:val="28"/>
        </w:rPr>
        <w:t>工程</w:t>
      </w:r>
      <w:r w:rsidRPr="007F2441">
        <w:rPr>
          <w:rFonts w:ascii="標楷體" w:eastAsia="標楷體" w:hAnsi="標楷體" w:hint="eastAsia"/>
          <w:b/>
          <w:sz w:val="28"/>
          <w:szCs w:val="28"/>
        </w:rPr>
        <w:t>採購契約範本」修正</w:t>
      </w:r>
      <w:r w:rsidR="00CF5FBD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7F2441">
        <w:rPr>
          <w:rFonts w:ascii="標楷體" w:eastAsia="標楷體" w:hAnsi="標楷體" w:hint="eastAsia"/>
          <w:b/>
          <w:sz w:val="28"/>
          <w:szCs w:val="28"/>
        </w:rPr>
        <w:t>對照</w:t>
      </w:r>
      <w:r w:rsidRPr="007F2441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5458"/>
        <w:gridCol w:w="3845"/>
      </w:tblGrid>
      <w:tr w:rsidR="0080053B" w:rsidRPr="00976BDE" w:rsidTr="00DB24D2">
        <w:trPr>
          <w:trHeight w:val="524"/>
          <w:tblHeader/>
        </w:trPr>
        <w:tc>
          <w:tcPr>
            <w:tcW w:w="5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修正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現行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說明</w:t>
            </w:r>
          </w:p>
        </w:tc>
      </w:tr>
      <w:tr w:rsidR="00DB2E8F" w:rsidRPr="00976BDE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E8F" w:rsidRPr="00392561" w:rsidRDefault="00DB2E8F" w:rsidP="001312B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第5</w:t>
            </w:r>
            <w:r w:rsidRPr="007F2441">
              <w:rPr>
                <w:rFonts w:ascii="標楷體" w:eastAsia="標楷體" w:hAnsi="標楷體" w:hint="eastAsia"/>
                <w:b/>
              </w:rPr>
              <w:t xml:space="preserve">條　</w:t>
            </w:r>
            <w:r w:rsidRPr="00392561">
              <w:rPr>
                <w:rFonts w:ascii="標楷體" w:eastAsia="標楷體" w:hAnsi="標楷體" w:hint="eastAsia"/>
                <w:b/>
              </w:rPr>
              <w:t>契約價金之給付條件</w:t>
            </w:r>
          </w:p>
          <w:p w:rsidR="00DB2E8F" w:rsidRDefault="00DB2E8F" w:rsidP="001312BD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1934C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1934CB">
              <w:rPr>
                <w:rFonts w:ascii="標楷體" w:eastAsia="標楷體" w:hAnsi="標楷體" w:hint="eastAsia"/>
              </w:rPr>
              <w:t>)</w:t>
            </w:r>
            <w:r w:rsidRPr="002D0410">
              <w:rPr>
                <w:rFonts w:ascii="標楷體" w:eastAsia="標楷體" w:hAnsi="標楷體" w:hint="eastAsia"/>
              </w:rPr>
              <w:t>除契約另有約定外，依下列條件辦理付款</w:t>
            </w:r>
            <w:r w:rsidRPr="00392561">
              <w:rPr>
                <w:rFonts w:ascii="標楷體" w:eastAsia="標楷體" w:hAnsi="標楷體" w:hint="eastAsia"/>
              </w:rPr>
              <w:t>：</w:t>
            </w:r>
          </w:p>
          <w:p w:rsidR="00DB2E8F" w:rsidRDefault="00DB2E8F" w:rsidP="001312BD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DB2E8F" w:rsidRDefault="00DB2E8F" w:rsidP="001312BD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25A05">
              <w:rPr>
                <w:rFonts w:ascii="標楷體" w:eastAsia="標楷體" w:hAnsi="標楷體" w:hint="eastAsia"/>
              </w:rPr>
              <w:t>□估驗款（由機關視個案情形於招標時勾選；未勾選者，表示無估驗款）：</w:t>
            </w:r>
          </w:p>
          <w:p w:rsidR="00DB2E8F" w:rsidRDefault="00DB2E8F" w:rsidP="001312BD">
            <w:pPr>
              <w:ind w:leftChars="261" w:left="806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DB2E8F" w:rsidRPr="00925A05" w:rsidRDefault="00DB2E8F" w:rsidP="00657024">
            <w:pPr>
              <w:ind w:leftChars="261" w:left="806" w:hangingChars="75" w:hanging="180"/>
              <w:jc w:val="both"/>
              <w:rPr>
                <w:rFonts w:ascii="標楷體" w:eastAsia="標楷體" w:hAnsi="標楷體"/>
              </w:rPr>
            </w:pP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(8)廠商為公共工程金質獎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得獎</w:t>
            </w: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廠商者，於獎勵期間得向機關申請減低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(3)所定</w:t>
            </w: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估驗計價保留款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額度</w:t>
            </w: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特優者減低為2%</w:t>
            </w:r>
            <w:r w:rsidR="007E052E">
              <w:rPr>
                <w:rFonts w:ascii="標楷體" w:eastAsia="標楷體" w:hAnsi="標楷體" w:hint="eastAsia"/>
                <w:color w:val="FF0000"/>
                <w:u w:val="single"/>
              </w:rPr>
              <w:t>，</w:t>
            </w: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優等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者減低為3%</w:t>
            </w:r>
            <w:r w:rsidR="007E052E">
              <w:rPr>
                <w:rFonts w:ascii="標楷體" w:eastAsia="標楷體" w:hAnsi="標楷體" w:hint="eastAsia"/>
                <w:color w:val="FF0000"/>
                <w:u w:val="single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佳作者減低為4%</w:t>
            </w:r>
            <w:r w:rsidR="007E052E">
              <w:rPr>
                <w:rFonts w:ascii="標楷體" w:eastAsia="標楷體" w:hAnsi="標楷體" w:hint="eastAsia"/>
                <w:color w:val="FF0000"/>
                <w:u w:val="single"/>
              </w:rPr>
              <w:t>，</w:t>
            </w: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獎勵期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滿而尚在履約期限內者仍適用</w:t>
            </w:r>
            <w:r w:rsidR="007E052E">
              <w:rPr>
                <w:rFonts w:ascii="標楷體" w:eastAsia="標楷體" w:hAnsi="標楷體" w:hint="eastAsia"/>
                <w:color w:val="FF0000"/>
                <w:u w:val="single"/>
              </w:rPr>
              <w:t>。</w:t>
            </w:r>
            <w:r w:rsidR="00484E71">
              <w:rPr>
                <w:rFonts w:ascii="標楷體" w:eastAsia="標楷體" w:hAnsi="標楷體" w:hint="eastAsia"/>
                <w:color w:val="FF0000"/>
                <w:u w:val="single"/>
              </w:rPr>
              <w:t>獎勵期間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經工程會</w:t>
            </w: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取消得獎資格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者，</w:t>
            </w:r>
            <w:r w:rsidR="007E052E">
              <w:rPr>
                <w:rFonts w:ascii="標楷體" w:eastAsia="標楷體" w:hAnsi="標楷體" w:hint="eastAsia"/>
                <w:color w:val="FF0000"/>
                <w:u w:val="single"/>
              </w:rPr>
              <w:t>其後之保留款</w:t>
            </w: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恢復原</w:t>
            </w:r>
            <w:r w:rsidR="007E052E">
              <w:rPr>
                <w:rFonts w:ascii="標楷體" w:eastAsia="標楷體" w:hAnsi="標楷體" w:hint="eastAsia"/>
                <w:color w:val="FF0000"/>
                <w:u w:val="single"/>
              </w:rPr>
              <w:t>定</w:t>
            </w:r>
            <w:r w:rsidRPr="00925A05">
              <w:rPr>
                <w:rFonts w:ascii="標楷體" w:eastAsia="標楷體" w:hAnsi="標楷體" w:hint="eastAsia"/>
                <w:color w:val="FF0000"/>
                <w:u w:val="single"/>
              </w:rPr>
              <w:t>比率。</w:t>
            </w:r>
          </w:p>
          <w:p w:rsidR="00DB2E8F" w:rsidRPr="00E56090" w:rsidRDefault="00DB2E8F" w:rsidP="001312BD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E8F" w:rsidRPr="00392561" w:rsidRDefault="00DB2E8F" w:rsidP="001312B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第5</w:t>
            </w:r>
            <w:r w:rsidRPr="007F2441">
              <w:rPr>
                <w:rFonts w:ascii="標楷體" w:eastAsia="標楷體" w:hAnsi="標楷體" w:hint="eastAsia"/>
                <w:b/>
              </w:rPr>
              <w:t xml:space="preserve">條　</w:t>
            </w:r>
            <w:r w:rsidRPr="00392561">
              <w:rPr>
                <w:rFonts w:ascii="標楷體" w:eastAsia="標楷體" w:hAnsi="標楷體" w:hint="eastAsia"/>
                <w:b/>
              </w:rPr>
              <w:t>契約價金之給付條件</w:t>
            </w:r>
          </w:p>
          <w:p w:rsidR="00DB2E8F" w:rsidRDefault="00DB2E8F" w:rsidP="001312BD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1934C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1934CB">
              <w:rPr>
                <w:rFonts w:ascii="標楷體" w:eastAsia="標楷體" w:hAnsi="標楷體" w:hint="eastAsia"/>
              </w:rPr>
              <w:t>)</w:t>
            </w:r>
            <w:r w:rsidRPr="002D0410">
              <w:rPr>
                <w:rFonts w:ascii="標楷體" w:eastAsia="標楷體" w:hAnsi="標楷體" w:hint="eastAsia"/>
              </w:rPr>
              <w:t>除契約另有約定外，依下列條件辦理付款</w:t>
            </w:r>
            <w:r w:rsidRPr="00392561">
              <w:rPr>
                <w:rFonts w:ascii="標楷體" w:eastAsia="標楷體" w:hAnsi="標楷體" w:hint="eastAsia"/>
              </w:rPr>
              <w:t>：</w:t>
            </w:r>
          </w:p>
          <w:p w:rsidR="00DB2E8F" w:rsidRDefault="00DB2E8F" w:rsidP="001312BD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DB2E8F" w:rsidRDefault="00DB2E8F" w:rsidP="001312BD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25A05">
              <w:rPr>
                <w:rFonts w:ascii="標楷體" w:eastAsia="標楷體" w:hAnsi="標楷體" w:hint="eastAsia"/>
              </w:rPr>
              <w:t>□估驗款（由機關視個案情形於招標時勾選；未勾選者，表示無估驗款）：</w:t>
            </w:r>
          </w:p>
          <w:p w:rsidR="00DB2E8F" w:rsidRPr="00E56090" w:rsidRDefault="00DB2E8F" w:rsidP="00657024">
            <w:pPr>
              <w:ind w:leftChars="261" w:left="806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E8F" w:rsidRPr="00BF65E2" w:rsidRDefault="00DB2E8F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DB2E8F" w:rsidRPr="00BF65E2" w:rsidRDefault="00DB2E8F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DB2E8F" w:rsidRPr="00BF65E2" w:rsidRDefault="00DB2E8F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DB2E8F" w:rsidRDefault="00DB2E8F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DB2E8F" w:rsidRDefault="00DB2E8F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DB2E8F" w:rsidRPr="00BF65E2" w:rsidRDefault="00DB2E8F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DB2E8F" w:rsidRPr="00BF65E2" w:rsidRDefault="00DB2E8F" w:rsidP="00657024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增訂第1款第2目之(</w:t>
            </w:r>
            <w:r w:rsidR="00484E71">
              <w:rPr>
                <w:rFonts w:ascii="標楷體" w:eastAsia="標楷體" w:hAnsi="標楷體" w:hint="eastAsia"/>
                <w:color w:val="0000FF"/>
              </w:rPr>
              <w:t>8</w:t>
            </w:r>
            <w:r>
              <w:rPr>
                <w:rFonts w:ascii="標楷體" w:eastAsia="標楷體" w:hAnsi="標楷體" w:hint="eastAsia"/>
                <w:color w:val="0000FF"/>
              </w:rPr>
              <w:t>)，依本會10</w:t>
            </w:r>
            <w:r w:rsidR="00484E71">
              <w:rPr>
                <w:rFonts w:ascii="標楷體" w:eastAsia="標楷體" w:hAnsi="標楷體" w:hint="eastAsia"/>
                <w:color w:val="0000FF"/>
              </w:rPr>
              <w:t>9</w:t>
            </w:r>
            <w:r>
              <w:rPr>
                <w:rFonts w:ascii="標楷體" w:eastAsia="標楷體" w:hAnsi="標楷體" w:hint="eastAsia"/>
                <w:color w:val="0000FF"/>
              </w:rPr>
              <w:t>年</w:t>
            </w:r>
            <w:r w:rsidR="00484E71">
              <w:rPr>
                <w:rFonts w:ascii="標楷體" w:eastAsia="標楷體" w:hAnsi="標楷體" w:hint="eastAsia"/>
                <w:color w:val="0000FF"/>
              </w:rPr>
              <w:t>9</w:t>
            </w:r>
            <w:r>
              <w:rPr>
                <w:rFonts w:ascii="標楷體" w:eastAsia="標楷體" w:hAnsi="標楷體" w:hint="eastAsia"/>
                <w:color w:val="0000FF"/>
              </w:rPr>
              <w:t>月</w:t>
            </w:r>
            <w:r w:rsidR="00484E71">
              <w:rPr>
                <w:rFonts w:ascii="標楷體" w:eastAsia="標楷體" w:hAnsi="標楷體" w:hint="eastAsia"/>
                <w:color w:val="0000FF"/>
              </w:rPr>
              <w:t>30</w:t>
            </w:r>
            <w:r>
              <w:rPr>
                <w:rFonts w:ascii="標楷體" w:eastAsia="標楷體" w:hAnsi="標楷體" w:hint="eastAsia"/>
                <w:color w:val="0000FF"/>
              </w:rPr>
              <w:t>日修正</w:t>
            </w:r>
            <w:r w:rsidR="00484E71">
              <w:rPr>
                <w:rFonts w:ascii="標楷體" w:eastAsia="標楷體" w:hAnsi="標楷體" w:hint="eastAsia"/>
                <w:color w:val="0000FF"/>
              </w:rPr>
              <w:t>(110年1月1日起生效)</w:t>
            </w:r>
            <w:r>
              <w:rPr>
                <w:rFonts w:ascii="標楷體" w:eastAsia="標楷體" w:hAnsi="標楷體" w:hint="eastAsia"/>
                <w:color w:val="0000FF"/>
              </w:rPr>
              <w:t>之「</w:t>
            </w:r>
            <w:r w:rsidRPr="00345FF4">
              <w:rPr>
                <w:rFonts w:ascii="標楷體" w:eastAsia="標楷體" w:hAnsi="標楷體" w:hint="eastAsia"/>
                <w:color w:val="0000FF"/>
              </w:rPr>
              <w:t>公共工程金質獎頒發作業要點</w:t>
            </w:r>
            <w:r>
              <w:rPr>
                <w:rFonts w:ascii="標楷體" w:eastAsia="標楷體" w:hAnsi="標楷體" w:hint="eastAsia"/>
                <w:color w:val="0000FF"/>
              </w:rPr>
              <w:t>」第9點，載明減低估驗計價保留款之情形</w:t>
            </w:r>
            <w:r w:rsidR="00484E71">
              <w:rPr>
                <w:rFonts w:ascii="標楷體" w:eastAsia="標楷體" w:hAnsi="標楷體" w:hint="eastAsia"/>
                <w:color w:val="0000FF"/>
              </w:rPr>
              <w:t>，並載明經取消得獎資格者，其後之估驗計價保留款恢復為原定比率(5%)</w:t>
            </w:r>
            <w:r>
              <w:rPr>
                <w:rFonts w:ascii="標楷體" w:eastAsia="標楷體" w:hAnsi="標楷體" w:hint="eastAsia"/>
                <w:color w:val="0000FF"/>
              </w:rPr>
              <w:t>。</w:t>
            </w:r>
          </w:p>
        </w:tc>
      </w:tr>
      <w:tr w:rsidR="00657024" w:rsidRPr="00976BDE" w:rsidTr="00263CA1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24" w:rsidRDefault="00657024" w:rsidP="001312B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第9條　施工管理</w:t>
            </w:r>
          </w:p>
          <w:p w:rsidR="00657024" w:rsidRDefault="00657024" w:rsidP="001312BD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E71666" w:rsidRPr="00E71666" w:rsidRDefault="00E71666" w:rsidP="00E71666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E71666">
              <w:rPr>
                <w:rFonts w:ascii="標楷體" w:eastAsia="標楷體" w:hAnsi="標楷體" w:hint="eastAsia"/>
              </w:rPr>
              <w:t>(四)施工計畫與報表：</w:t>
            </w:r>
          </w:p>
          <w:p w:rsidR="00E71666" w:rsidRPr="00E71666" w:rsidRDefault="00E71666" w:rsidP="00E71666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 w:rsidRPr="00E71666">
              <w:rPr>
                <w:rFonts w:ascii="標楷體" w:eastAsia="標楷體" w:hAnsi="標楷體" w:hint="eastAsia"/>
              </w:rPr>
              <w:t>1.</w:t>
            </w:r>
            <w:r w:rsidRPr="001E5E30">
              <w:rPr>
                <w:rFonts w:ascii="標楷體" w:eastAsia="標楷體" w:hAnsi="標楷體" w:hint="eastAsia"/>
                <w:spacing w:val="-2"/>
              </w:rPr>
              <w:t>廠商應於開工前，擬定施工順序及預定進度表等，並就主要施工部分敘明施工方法，繪製施工相關圖說，送請機關核定。機關為協調相關工程之配合，得指示廠商作必要之修正。</w:t>
            </w:r>
          </w:p>
          <w:p w:rsid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</w:rPr>
            </w:pPr>
          </w:p>
          <w:p w:rsid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</w:rPr>
            </w:pPr>
          </w:p>
          <w:p w:rsid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</w:rPr>
            </w:pPr>
          </w:p>
          <w:p w:rsid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</w:rPr>
            </w:pPr>
          </w:p>
          <w:p w:rsid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</w:rPr>
            </w:pPr>
          </w:p>
          <w:p w:rsid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</w:rPr>
            </w:pPr>
          </w:p>
          <w:p w:rsid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</w:rPr>
            </w:pPr>
          </w:p>
          <w:p w:rsid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</w:rPr>
            </w:pPr>
          </w:p>
          <w:p w:rsidR="00E71666" w:rsidRDefault="00E71666" w:rsidP="00E71666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657024" w:rsidRPr="00CC7674" w:rsidRDefault="00657024" w:rsidP="00E71666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CC7674">
              <w:rPr>
                <w:rFonts w:ascii="標楷體" w:eastAsia="標楷體" w:hAnsi="標楷體" w:hint="eastAsia"/>
              </w:rPr>
              <w:t>(七)工程保管：</w:t>
            </w:r>
          </w:p>
          <w:p w:rsidR="00657024" w:rsidRPr="00CC7674" w:rsidRDefault="00657024" w:rsidP="001312BD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657024" w:rsidRPr="0029286D" w:rsidRDefault="00657024" w:rsidP="001312BD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 w:rsidRPr="00CC7674">
              <w:rPr>
                <w:rFonts w:ascii="標楷體" w:eastAsia="標楷體" w:hAnsi="標楷體" w:hint="eastAsia"/>
              </w:rPr>
              <w:t>2.工程未經驗收前，機關因需要使用時，廠商不得拒絕。但</w:t>
            </w:r>
            <w:r w:rsidR="008957EE" w:rsidRPr="008957EE">
              <w:rPr>
                <w:rFonts w:ascii="標楷體" w:eastAsia="標楷體" w:hAnsi="標楷體" w:hint="eastAsia"/>
                <w:color w:val="FF0000"/>
                <w:u w:val="single"/>
              </w:rPr>
              <w:t>機關</w:t>
            </w:r>
            <w:r w:rsidRPr="00CC7674">
              <w:rPr>
                <w:rFonts w:ascii="標楷體" w:eastAsia="標楷體" w:hAnsi="標楷體" w:hint="eastAsia"/>
              </w:rPr>
              <w:t>應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先就該部分辦理驗收或分段查驗供驗收之用，並</w:t>
            </w:r>
            <w:r w:rsidRPr="00CC7674">
              <w:rPr>
                <w:rFonts w:ascii="標楷體" w:eastAsia="標楷體" w:hAnsi="標楷體" w:hint="eastAsia"/>
              </w:rPr>
              <w:t>由雙方會同使用單位協商認定權利與義務。使用期間因非可歸責於廠商之事由，致遺失或損壞者，應由機關負責。</w:t>
            </w:r>
          </w:p>
          <w:p w:rsidR="00657024" w:rsidRPr="005E040A" w:rsidRDefault="00657024" w:rsidP="00657024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24" w:rsidRDefault="00657024" w:rsidP="001312BD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第9條　施工管理</w:t>
            </w:r>
          </w:p>
          <w:p w:rsidR="00657024" w:rsidRDefault="00657024" w:rsidP="001312BD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E71666" w:rsidRPr="00E71666" w:rsidRDefault="00E71666" w:rsidP="00E71666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E71666">
              <w:rPr>
                <w:rFonts w:ascii="標楷體" w:eastAsia="標楷體" w:hAnsi="標楷體" w:hint="eastAsia"/>
              </w:rPr>
              <w:t>(四)施工計畫與報表：</w:t>
            </w:r>
          </w:p>
          <w:p w:rsidR="00E71666" w:rsidRPr="00E71666" w:rsidRDefault="00E71666" w:rsidP="00E71666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 w:rsidRPr="00E71666">
              <w:rPr>
                <w:rFonts w:ascii="標楷體" w:eastAsia="標楷體" w:hAnsi="標楷體" w:hint="eastAsia"/>
              </w:rPr>
              <w:t>1.</w:t>
            </w:r>
            <w:r w:rsidRPr="001E5E30">
              <w:rPr>
                <w:rFonts w:ascii="標楷體" w:eastAsia="標楷體" w:hAnsi="標楷體" w:hint="eastAsia"/>
                <w:spacing w:val="-2"/>
              </w:rPr>
              <w:t>廠商應於開工前，擬定施工順序及預定進度表等，並就主要施工部分敘明施工方法，繪製施工相關圖說，送請機關核定。機關為協調相關工程之配合，得指示廠商作必要之修正。</w:t>
            </w:r>
          </w:p>
          <w:p w:rsidR="00E71666" w:rsidRPr="00E71666" w:rsidRDefault="00E71666" w:rsidP="00E71666">
            <w:pPr>
              <w:ind w:leftChars="280" w:left="67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E71666">
              <w:rPr>
                <w:rFonts w:ascii="標楷體" w:eastAsia="標楷體" w:hAnsi="標楷體" w:hint="eastAsia"/>
                <w:color w:val="FF0000"/>
                <w:u w:val="single"/>
              </w:rPr>
              <w:t>預算金額達新臺幣2億元之工程，或未達2億元但經□上級機關；□機關認定（由機關於招標時勾選），廠商應於開工前查填招標文</w:t>
            </w:r>
            <w:r w:rsidRPr="00E71666">
              <w:rPr>
                <w:rFonts w:ascii="標楷體" w:eastAsia="標楷體" w:hAnsi="標楷體" w:hint="eastAsia"/>
                <w:color w:val="FF0000"/>
                <w:u w:val="single"/>
              </w:rPr>
              <w:lastRenderedPageBreak/>
              <w:t>件所附「重大公共工程開工管制條件廠商應辦事項檢核表」(招標文件未附者，為工程會所訂「重大公共工程開工要件注意事項」第8點附件檢核表)，經監造單位/工程司審查後報請機關備查，於開工後確實執行。</w:t>
            </w:r>
          </w:p>
          <w:p w:rsidR="00E71666" w:rsidRDefault="00E71666" w:rsidP="001312BD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657024" w:rsidRPr="00CC7674" w:rsidRDefault="00657024" w:rsidP="001312BD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CC7674">
              <w:rPr>
                <w:rFonts w:ascii="標楷體" w:eastAsia="標楷體" w:hAnsi="標楷體" w:hint="eastAsia"/>
              </w:rPr>
              <w:t>(七)工程保管：</w:t>
            </w:r>
          </w:p>
          <w:p w:rsidR="00657024" w:rsidRPr="00CC7674" w:rsidRDefault="00657024" w:rsidP="001312BD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657024" w:rsidRPr="0029286D" w:rsidRDefault="00657024" w:rsidP="001312BD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 w:rsidRPr="00CC7674">
              <w:rPr>
                <w:rFonts w:ascii="標楷體" w:eastAsia="標楷體" w:hAnsi="標楷體" w:hint="eastAsia"/>
              </w:rPr>
              <w:t>2.工程未經驗收前，機關因需要使用時，廠商不得拒絕。但應由雙方會同使用單位協商認定權利與義務。使用期間因非可歸責於廠商之事由，致遺失或損壞者，應由機關負責。</w:t>
            </w:r>
          </w:p>
          <w:p w:rsidR="00657024" w:rsidRPr="005E040A" w:rsidRDefault="00657024" w:rsidP="001312BD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29286D">
              <w:rPr>
                <w:rFonts w:ascii="標楷體" w:eastAsia="標楷體" w:hAnsi="標楷體" w:hint="eastAsia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24" w:rsidRPr="005E040A" w:rsidRDefault="00657024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657024" w:rsidRDefault="00657024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657024" w:rsidRPr="005E040A" w:rsidRDefault="00657024" w:rsidP="001312BD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E71666" w:rsidRDefault="00E71666" w:rsidP="004B1CFF">
            <w:pPr>
              <w:numPr>
                <w:ilvl w:val="0"/>
                <w:numId w:val="46"/>
              </w:numPr>
              <w:ind w:left="318" w:hanging="318"/>
              <w:jc w:val="both"/>
              <w:rPr>
                <w:rFonts w:ascii="標楷體" w:eastAsia="標楷體" w:hAnsi="標楷體"/>
                <w:color w:val="0000FF"/>
              </w:rPr>
            </w:pPr>
            <w:r w:rsidRPr="00E71666">
              <w:rPr>
                <w:rFonts w:ascii="標楷體" w:eastAsia="標楷體" w:hAnsi="標楷體" w:hint="eastAsia"/>
                <w:color w:val="0000FF"/>
              </w:rPr>
              <w:t>第4款第1目第2段，本會於109年9月29日修正「重大公共工程開工要件注意事項」刪除「重大公共工程開工管制條件廠商應辦事項檢核表」，爰予刪除</w:t>
            </w:r>
            <w:r>
              <w:rPr>
                <w:rFonts w:ascii="標楷體" w:eastAsia="標楷體" w:hAnsi="標楷體" w:hint="eastAsia"/>
                <w:color w:val="0000FF"/>
              </w:rPr>
              <w:t>。</w:t>
            </w:r>
          </w:p>
          <w:p w:rsidR="00E71666" w:rsidRDefault="00E71666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E71666" w:rsidRDefault="00E71666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E71666" w:rsidRDefault="00E71666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1E5E30" w:rsidRDefault="001E5E30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8C0F32" w:rsidRDefault="008C0F32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4B1CFF" w:rsidRDefault="004B1CFF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8C0F32" w:rsidRDefault="008C0F32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1E5E30" w:rsidRPr="001E5E30" w:rsidRDefault="001E5E30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E71666" w:rsidRDefault="00E71666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E71666" w:rsidRDefault="00E71666" w:rsidP="00E71666">
            <w:pPr>
              <w:wordWrap w:val="0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657024" w:rsidRPr="005E040A" w:rsidRDefault="00657024" w:rsidP="00E71666">
            <w:pPr>
              <w:numPr>
                <w:ilvl w:val="0"/>
                <w:numId w:val="46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</w:rPr>
            </w:pPr>
            <w:r w:rsidRPr="00CC7674">
              <w:rPr>
                <w:rFonts w:ascii="標楷體" w:eastAsia="標楷體" w:hAnsi="標楷體" w:hint="eastAsia"/>
                <w:color w:val="0000FF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</w:rPr>
              <w:t>7</w:t>
            </w:r>
            <w:r w:rsidRPr="00CC7674">
              <w:rPr>
                <w:rFonts w:ascii="標楷體" w:eastAsia="標楷體" w:hAnsi="標楷體" w:hint="eastAsia"/>
                <w:color w:val="0000FF"/>
              </w:rPr>
              <w:t>款</w:t>
            </w:r>
            <w:r>
              <w:rPr>
                <w:rFonts w:ascii="標楷體" w:eastAsia="標楷體" w:hAnsi="標楷體" w:hint="eastAsia"/>
                <w:color w:val="0000FF"/>
              </w:rPr>
              <w:t>第2目</w:t>
            </w:r>
            <w:r w:rsidRPr="00CC7674">
              <w:rPr>
                <w:rFonts w:ascii="標楷體" w:eastAsia="標楷體" w:hAnsi="標楷體" w:hint="eastAsia"/>
                <w:color w:val="0000FF"/>
              </w:rPr>
              <w:t>，屢有廠商反映</w:t>
            </w:r>
            <w:r>
              <w:rPr>
                <w:rFonts w:ascii="標楷體" w:eastAsia="標楷體" w:hAnsi="標楷體" w:hint="eastAsia"/>
                <w:color w:val="0000FF"/>
              </w:rPr>
              <w:t>工程未驗收前，可否拒絕機關先行使用之需求。依採購法施行細則第99條規定，</w:t>
            </w:r>
            <w:r w:rsidRPr="00CC7674">
              <w:rPr>
                <w:rFonts w:ascii="標楷體" w:eastAsia="標楷體" w:hAnsi="標楷體" w:hint="eastAsia"/>
                <w:color w:val="0000FF"/>
              </w:rPr>
              <w:t>採購</w:t>
            </w:r>
            <w:r>
              <w:rPr>
                <w:rFonts w:ascii="標楷體" w:eastAsia="標楷體" w:hAnsi="標楷體" w:hint="eastAsia"/>
                <w:color w:val="0000FF"/>
              </w:rPr>
              <w:t>標的如有</w:t>
            </w:r>
            <w:r w:rsidRPr="00CC7674">
              <w:rPr>
                <w:rFonts w:ascii="標楷體" w:eastAsia="標楷體" w:hAnsi="標楷體" w:hint="eastAsia"/>
                <w:color w:val="0000FF"/>
              </w:rPr>
              <w:t>部分先行使用之必要者，應先就該部分辦理驗收或分段查驗供驗收之用，</w:t>
            </w:r>
            <w:r>
              <w:rPr>
                <w:rFonts w:ascii="標楷體" w:eastAsia="標楷體" w:hAnsi="標楷體" w:hint="eastAsia"/>
                <w:color w:val="0000FF"/>
              </w:rPr>
              <w:t>爰予修正</w:t>
            </w:r>
            <w:r w:rsidRPr="00CC7674">
              <w:rPr>
                <w:rFonts w:ascii="標楷體" w:eastAsia="標楷體" w:hAnsi="標楷體" w:hint="eastAsia"/>
                <w:color w:val="0000FF"/>
              </w:rPr>
              <w:t>。</w:t>
            </w:r>
          </w:p>
        </w:tc>
      </w:tr>
      <w:tr w:rsidR="00BE0679" w:rsidRPr="00976BDE" w:rsidTr="00EF6CA7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79" w:rsidRDefault="00BE0679" w:rsidP="00EF6CA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第13條　保險</w:t>
            </w:r>
          </w:p>
          <w:p w:rsidR="00BE0679" w:rsidRDefault="00BE0679" w:rsidP="00EF6CA7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/>
              </w:rPr>
              <w:t>……</w:t>
            </w:r>
          </w:p>
          <w:p w:rsidR="00BE0679" w:rsidRDefault="00BE0679" w:rsidP="00EF6CA7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8A0D43">
              <w:rPr>
                <w:rFonts w:ascii="標楷體" w:eastAsia="標楷體" w:hAnsi="標楷體" w:cs="標楷體" w:hint="eastAsia"/>
              </w:rPr>
              <w:t>(十)廠商應依中華民國法規為其員工及車輛投保勞工保險、全民健康保險及汽機車第三人責任險。廠商並應為其屬勞工保險條例所定應參加或得參加勞工保險(含僅參加職業災害保險)對象之員工投保；其員工非屬前開對象者，始得以其他商業保險代之。</w:t>
            </w:r>
          </w:p>
          <w:p w:rsidR="00BE0679" w:rsidRPr="00976BDE" w:rsidRDefault="00BE0679" w:rsidP="00EF6CA7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79" w:rsidRDefault="00BE0679" w:rsidP="00EF6CA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第13條　保險</w:t>
            </w:r>
          </w:p>
          <w:p w:rsidR="00BE0679" w:rsidRDefault="00BE0679" w:rsidP="00EF6CA7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/>
              </w:rPr>
              <w:t>……</w:t>
            </w:r>
          </w:p>
          <w:p w:rsidR="00BE0679" w:rsidRDefault="00BE0679" w:rsidP="00EF6CA7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8A0D43">
              <w:rPr>
                <w:rFonts w:ascii="標楷體" w:eastAsia="標楷體" w:hAnsi="標楷體" w:cs="標楷體" w:hint="eastAsia"/>
              </w:rPr>
              <w:t>(十)廠商應依中華民國法規為其員工及車輛投保勞工保險、全民健康保險及汽機車第三人責任險。</w:t>
            </w:r>
            <w:r w:rsidRPr="008A0D43">
              <w:rPr>
                <w:rFonts w:ascii="標楷體" w:eastAsia="標楷體" w:hAnsi="標楷體" w:cs="標楷體" w:hint="eastAsia"/>
                <w:color w:val="FF0000"/>
                <w:u w:val="single"/>
              </w:rPr>
              <w:t>其依法屬免投勞工保險者，得以其他商業保險代之。</w:t>
            </w:r>
            <w:r w:rsidRPr="008A0D43">
              <w:rPr>
                <w:rFonts w:ascii="標楷體" w:eastAsia="標楷體" w:hAnsi="標楷體" w:cs="標楷體" w:hint="eastAsia"/>
              </w:rPr>
              <w:t>廠商並應為其屬勞工保險條例所定應參加或得參加勞工保險(含僅參加職業災害保險)對象之員工投保；其員工非屬前開對象者，始得以其他商業保險代之。</w:t>
            </w:r>
          </w:p>
          <w:p w:rsidR="00BE0679" w:rsidRPr="00976BDE" w:rsidRDefault="00BE0679" w:rsidP="00EF6CA7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b/>
              </w:rPr>
            </w:pPr>
            <w:r w:rsidRPr="00DB3E88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679" w:rsidRDefault="00BE0679" w:rsidP="00EF6CA7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E0679" w:rsidRDefault="00BE0679" w:rsidP="00EF6CA7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E0679" w:rsidRPr="00DB3E88" w:rsidRDefault="00BE0679" w:rsidP="00EF6CA7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第10款，刪除贅句以避免誤解。</w:t>
            </w:r>
          </w:p>
        </w:tc>
      </w:tr>
      <w:tr w:rsidR="0086084C" w:rsidRPr="00976BDE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4C" w:rsidRDefault="0086084C" w:rsidP="0086084C">
            <w:pPr>
              <w:jc w:val="both"/>
              <w:rPr>
                <w:rFonts w:ascii="標楷體" w:eastAsia="標楷體" w:hAnsi="標楷體"/>
                <w:b/>
              </w:rPr>
            </w:pPr>
            <w:r w:rsidRPr="0086084C">
              <w:rPr>
                <w:rFonts w:ascii="標楷體" w:eastAsia="標楷體" w:hAnsi="標楷體" w:hint="eastAsia"/>
                <w:b/>
              </w:rPr>
              <w:lastRenderedPageBreak/>
              <w:t>附錄1、工作安全與衛生</w:t>
            </w:r>
          </w:p>
          <w:p w:rsidR="0086084C" w:rsidRDefault="0086084C" w:rsidP="0086084C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86084C">
              <w:rPr>
                <w:rFonts w:ascii="標楷體" w:eastAsia="標楷體" w:hAnsi="標楷體" w:cs="標楷體"/>
                <w:bCs/>
              </w:rPr>
              <w:t>……</w:t>
            </w:r>
          </w:p>
          <w:p w:rsidR="0086084C" w:rsidRDefault="0086084C" w:rsidP="0086084C">
            <w:pPr>
              <w:ind w:leftChars="74" w:left="444" w:hangingChars="111" w:hanging="2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ab/>
            </w:r>
            <w:r w:rsidRPr="0086084C">
              <w:rPr>
                <w:rFonts w:ascii="標楷體" w:eastAsia="標楷體" w:hAnsi="標楷體" w:hint="eastAsia"/>
              </w:rPr>
              <w:t>廠商應辦理之提升職業安全衛生事項</w:t>
            </w:r>
          </w:p>
          <w:p w:rsidR="0086084C" w:rsidRDefault="0086084C" w:rsidP="0086084C">
            <w:pPr>
              <w:ind w:leftChars="150" w:left="972" w:hangingChars="255" w:hanging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86084C" w:rsidRDefault="0086084C" w:rsidP="0086084C">
            <w:pPr>
              <w:ind w:leftChars="150" w:left="972" w:hangingChars="255" w:hanging="612"/>
              <w:jc w:val="both"/>
              <w:rPr>
                <w:rFonts w:ascii="標楷體" w:eastAsia="標楷體" w:hAnsi="標楷體"/>
              </w:rPr>
            </w:pPr>
            <w:r w:rsidRPr="0086084C">
              <w:rPr>
                <w:rFonts w:ascii="標楷體" w:eastAsia="標楷體" w:hAnsi="標楷體" w:hint="eastAsia"/>
              </w:rPr>
              <w:t>6.3</w:t>
            </w:r>
            <w:r w:rsidRPr="0086084C">
              <w:rPr>
                <w:rFonts w:ascii="標楷體" w:eastAsia="標楷體" w:hAnsi="標楷體" w:hint="eastAsia"/>
              </w:rPr>
              <w:tab/>
              <w:t>管理</w:t>
            </w:r>
          </w:p>
          <w:p w:rsidR="0086084C" w:rsidRDefault="0086084C" w:rsidP="0086084C">
            <w:pPr>
              <w:ind w:leftChars="405" w:left="1692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86084C" w:rsidRDefault="0086084C" w:rsidP="0086084C">
            <w:pPr>
              <w:ind w:leftChars="405" w:left="1692" w:hangingChars="300" w:hanging="720"/>
              <w:jc w:val="both"/>
              <w:rPr>
                <w:rFonts w:ascii="標楷體" w:eastAsia="標楷體" w:hAnsi="標楷體"/>
              </w:rPr>
            </w:pPr>
            <w:r w:rsidRPr="0086084C">
              <w:rPr>
                <w:rFonts w:ascii="標楷體" w:eastAsia="標楷體" w:hAnsi="標楷體" w:hint="eastAsia"/>
              </w:rPr>
              <w:t>6.3.4</w:t>
            </w:r>
            <w:r w:rsidRPr="0086084C">
              <w:rPr>
                <w:rFonts w:ascii="標楷體" w:eastAsia="標楷體" w:hAnsi="標楷體" w:hint="eastAsia"/>
              </w:rPr>
              <w:tab/>
              <w:t>開工前登錄安全衛生人員資料，報請監造單位/工程司審查，經機關核定後，由機關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督導廠商</w:t>
            </w:r>
            <w:r w:rsidRPr="0086084C">
              <w:rPr>
                <w:rFonts w:ascii="標楷體" w:eastAsia="標楷體" w:hAnsi="標楷體" w:hint="eastAsia"/>
              </w:rPr>
              <w:t>依規定報請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勞動</w:t>
            </w:r>
            <w:r w:rsidRPr="0086084C">
              <w:rPr>
                <w:rFonts w:ascii="標楷體" w:eastAsia="標楷體" w:hAnsi="標楷體" w:hint="eastAsia"/>
              </w:rPr>
              <w:t>檢查機構備查；人員異動或工程變更時，亦同。</w:t>
            </w:r>
          </w:p>
          <w:p w:rsidR="0086084C" w:rsidRPr="0086084C" w:rsidRDefault="0086084C" w:rsidP="0086084C">
            <w:pPr>
              <w:ind w:leftChars="74" w:left="444" w:hangingChars="111" w:hanging="266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4C" w:rsidRDefault="0086084C" w:rsidP="00FC2579">
            <w:pPr>
              <w:jc w:val="both"/>
              <w:rPr>
                <w:rFonts w:ascii="標楷體" w:eastAsia="標楷體" w:hAnsi="標楷體"/>
                <w:b/>
              </w:rPr>
            </w:pPr>
            <w:r w:rsidRPr="0086084C">
              <w:rPr>
                <w:rFonts w:ascii="標楷體" w:eastAsia="標楷體" w:hAnsi="標楷體" w:hint="eastAsia"/>
                <w:b/>
              </w:rPr>
              <w:t>附錄1、工作安全與衛生</w:t>
            </w:r>
          </w:p>
          <w:p w:rsidR="0086084C" w:rsidRDefault="0086084C" w:rsidP="0086084C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86084C">
              <w:rPr>
                <w:rFonts w:ascii="標楷體" w:eastAsia="標楷體" w:hAnsi="標楷體" w:cs="標楷體"/>
                <w:bCs/>
              </w:rPr>
              <w:t>……</w:t>
            </w:r>
          </w:p>
          <w:p w:rsidR="0086084C" w:rsidRDefault="0086084C" w:rsidP="0086084C">
            <w:pPr>
              <w:ind w:leftChars="74" w:left="444" w:hangingChars="111" w:hanging="2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ab/>
            </w:r>
            <w:r w:rsidRPr="0086084C">
              <w:rPr>
                <w:rFonts w:ascii="標楷體" w:eastAsia="標楷體" w:hAnsi="標楷體" w:hint="eastAsia"/>
              </w:rPr>
              <w:t>廠商應辦理之提升職業安全衛生事項</w:t>
            </w:r>
          </w:p>
          <w:p w:rsidR="0086084C" w:rsidRDefault="0086084C" w:rsidP="0086084C">
            <w:pPr>
              <w:ind w:leftChars="150" w:left="972" w:hangingChars="255" w:hanging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86084C" w:rsidRDefault="0086084C" w:rsidP="0086084C">
            <w:pPr>
              <w:ind w:leftChars="150" w:left="972" w:hangingChars="255" w:hanging="612"/>
              <w:jc w:val="both"/>
              <w:rPr>
                <w:rFonts w:ascii="標楷體" w:eastAsia="標楷體" w:hAnsi="標楷體"/>
              </w:rPr>
            </w:pPr>
            <w:r w:rsidRPr="0086084C">
              <w:rPr>
                <w:rFonts w:ascii="標楷體" w:eastAsia="標楷體" w:hAnsi="標楷體" w:hint="eastAsia"/>
              </w:rPr>
              <w:t>6.3</w:t>
            </w:r>
            <w:r w:rsidRPr="0086084C">
              <w:rPr>
                <w:rFonts w:ascii="標楷體" w:eastAsia="標楷體" w:hAnsi="標楷體" w:hint="eastAsia"/>
              </w:rPr>
              <w:tab/>
              <w:t>管理</w:t>
            </w:r>
          </w:p>
          <w:p w:rsidR="0086084C" w:rsidRDefault="0086084C" w:rsidP="0086084C">
            <w:pPr>
              <w:ind w:leftChars="405" w:left="1692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86084C" w:rsidRDefault="0086084C" w:rsidP="0086084C">
            <w:pPr>
              <w:ind w:leftChars="405" w:left="1692" w:hangingChars="300" w:hanging="720"/>
              <w:jc w:val="both"/>
              <w:rPr>
                <w:rFonts w:ascii="標楷體" w:eastAsia="標楷體" w:hAnsi="標楷體"/>
              </w:rPr>
            </w:pPr>
            <w:r w:rsidRPr="0086084C">
              <w:rPr>
                <w:rFonts w:ascii="標楷體" w:eastAsia="標楷體" w:hAnsi="標楷體" w:hint="eastAsia"/>
              </w:rPr>
              <w:t>6.3.4</w:t>
            </w:r>
            <w:r w:rsidRPr="0086084C">
              <w:rPr>
                <w:rFonts w:ascii="標楷體" w:eastAsia="標楷體" w:hAnsi="標楷體" w:hint="eastAsia"/>
              </w:rPr>
              <w:tab/>
              <w:t>開工前登錄安全衛生人員資料，報請監造單位/工程司審查，經機關核定後，由機關依規定報請檢查機構備查；人員異動或工程變更時，亦同。</w:t>
            </w:r>
          </w:p>
          <w:p w:rsidR="0086084C" w:rsidRPr="0086084C" w:rsidRDefault="0086084C" w:rsidP="0086084C">
            <w:pPr>
              <w:ind w:leftChars="150" w:left="972" w:hangingChars="255" w:hanging="6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4C" w:rsidRDefault="0086084C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86084C" w:rsidRDefault="0086084C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86084C" w:rsidRDefault="0086084C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86084C" w:rsidRDefault="0086084C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86084C" w:rsidRDefault="0086084C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86084C" w:rsidRDefault="0086084C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86084C" w:rsidRPr="00976BDE" w:rsidRDefault="0086084C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第6.3.4點，</w:t>
            </w:r>
            <w:r w:rsidRPr="002F20A5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參照勞動部103年12月30日修正之「加強公共工程職業安全衛生管理作業要點」第9點第3款第4目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修正。</w:t>
            </w:r>
          </w:p>
        </w:tc>
      </w:tr>
      <w:tr w:rsidR="00504C41" w:rsidRPr="00976BDE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41" w:rsidRDefault="00504C41" w:rsidP="00357983">
            <w:pPr>
              <w:jc w:val="both"/>
              <w:rPr>
                <w:rFonts w:ascii="標楷體" w:eastAsia="標楷體" w:hAnsi="標楷體"/>
                <w:b/>
              </w:rPr>
            </w:pPr>
            <w:r w:rsidRPr="00504C41">
              <w:rPr>
                <w:rFonts w:ascii="標楷體" w:eastAsia="標楷體" w:hAnsi="標楷體" w:hint="eastAsia"/>
                <w:b/>
              </w:rPr>
              <w:t>附錄2、工地管理</w:t>
            </w:r>
          </w:p>
          <w:p w:rsidR="00504C41" w:rsidRDefault="00504C41" w:rsidP="00357983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/>
                <w:bCs/>
              </w:rPr>
              <w:t>……</w:t>
            </w:r>
          </w:p>
          <w:p w:rsidR="00504C41" w:rsidRDefault="00504C41" w:rsidP="00357983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8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504C41">
              <w:rPr>
                <w:rFonts w:ascii="標楷體" w:eastAsia="標楷體" w:hAnsi="標楷體" w:cs="標楷體" w:hint="eastAsia"/>
                <w:bCs/>
              </w:rPr>
              <w:t>□工程告示牌設置（如未納入設計圖說時，由機關擇需要者於招標時載明）</w:t>
            </w:r>
          </w:p>
          <w:p w:rsidR="00504C41" w:rsidRDefault="00504C41" w:rsidP="00357983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/>
                <w:bCs/>
              </w:rPr>
              <w:t>……</w:t>
            </w:r>
          </w:p>
          <w:p w:rsidR="00504C41" w:rsidRPr="00504C41" w:rsidRDefault="00504C41" w:rsidP="00357983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8.3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504C41">
              <w:rPr>
                <w:rFonts w:ascii="標楷體" w:eastAsia="標楷體" w:hAnsi="標楷體" w:cs="標楷體" w:hint="eastAsia"/>
                <w:bCs/>
              </w:rPr>
              <w:t>工程告示牌之內容</w:t>
            </w:r>
          </w:p>
          <w:p w:rsidR="00504C41" w:rsidRPr="00504C41" w:rsidRDefault="00504C41" w:rsidP="00357983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 w:hint="eastAsia"/>
                <w:bCs/>
              </w:rPr>
              <w:t>8.3.1</w:t>
            </w:r>
            <w:r w:rsidRPr="00504C41">
              <w:rPr>
                <w:rFonts w:ascii="標楷體" w:eastAsia="標楷體" w:hAnsi="標楷體" w:cs="標楷體" w:hint="eastAsia"/>
                <w:bCs/>
              </w:rPr>
              <w:tab/>
              <w:t>工</w:t>
            </w:r>
            <w:r w:rsidRPr="00AA73CA">
              <w:rPr>
                <w:rFonts w:ascii="標楷體" w:eastAsia="標楷體" w:hAnsi="標楷體" w:hint="eastAsia"/>
              </w:rPr>
              <w:t>程名稱、主辦機關</w:t>
            </w:r>
            <w:r w:rsidR="00CE5658">
              <w:rPr>
                <w:rFonts w:ascii="標楷體" w:eastAsia="標楷體" w:hAnsi="標楷體" w:hint="eastAsia"/>
                <w:color w:val="FF0000"/>
                <w:u w:val="single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起造人</w:t>
            </w:r>
            <w:r w:rsidR="00CE5658">
              <w:rPr>
                <w:rFonts w:ascii="標楷體" w:eastAsia="標楷體" w:hAnsi="標楷體" w:hint="eastAsia"/>
                <w:color w:val="FF0000"/>
                <w:u w:val="single"/>
              </w:rPr>
              <w:t>(建築工程)</w:t>
            </w:r>
            <w:r w:rsidRPr="00AA73CA">
              <w:rPr>
                <w:rFonts w:ascii="標楷體" w:eastAsia="標楷體" w:hAnsi="標楷體" w:hint="eastAsia"/>
              </w:rPr>
              <w:t>、</w:t>
            </w:r>
            <w:r w:rsidRPr="00AA73CA">
              <w:rPr>
                <w:rFonts w:ascii="標楷體" w:eastAsia="標楷體" w:hAnsi="標楷體" w:hint="eastAsia"/>
                <w:color w:val="FF0000"/>
                <w:u w:val="single"/>
              </w:rPr>
              <w:t>設計單位</w:t>
            </w:r>
            <w:r w:rsidR="00CE5658">
              <w:rPr>
                <w:rFonts w:ascii="標楷體" w:eastAsia="標楷體" w:hAnsi="標楷體" w:hint="eastAsia"/>
                <w:color w:val="FF0000"/>
                <w:u w:val="single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設計人</w:t>
            </w:r>
            <w:r w:rsidR="00CE5658">
              <w:rPr>
                <w:rFonts w:ascii="標楷體" w:eastAsia="標楷體" w:hAnsi="標楷體" w:hint="eastAsia"/>
                <w:color w:val="FF0000"/>
                <w:u w:val="single"/>
              </w:rPr>
              <w:t>(建築工程)</w:t>
            </w:r>
            <w:r w:rsidRPr="00AA73CA">
              <w:rPr>
                <w:rFonts w:ascii="標楷體" w:eastAsia="標楷體" w:hAnsi="標楷體" w:hint="eastAsia"/>
                <w:color w:val="FF0000"/>
                <w:u w:val="single"/>
              </w:rPr>
              <w:t>、</w:t>
            </w:r>
            <w:r w:rsidRPr="00AA73CA">
              <w:rPr>
                <w:rFonts w:ascii="標楷體" w:eastAsia="標楷體" w:hAnsi="標楷體" w:hint="eastAsia"/>
              </w:rPr>
              <w:t>監造單位</w:t>
            </w:r>
            <w:r w:rsidR="00CE5658">
              <w:rPr>
                <w:rFonts w:ascii="標楷體" w:eastAsia="標楷體" w:hAnsi="標楷體" w:hint="eastAsia"/>
                <w:color w:val="FF0000"/>
                <w:u w:val="single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監造人</w:t>
            </w:r>
            <w:r w:rsidR="00CE5658">
              <w:rPr>
                <w:rFonts w:ascii="標楷體" w:eastAsia="標楷體" w:hAnsi="標楷體" w:hint="eastAsia"/>
                <w:color w:val="FF0000"/>
                <w:u w:val="single"/>
              </w:rPr>
              <w:t>(建築工程)</w:t>
            </w:r>
            <w:r w:rsidRPr="00AA73CA">
              <w:rPr>
                <w:rFonts w:ascii="標楷體" w:eastAsia="標楷體" w:hAnsi="標楷體" w:hint="eastAsia"/>
              </w:rPr>
              <w:t>、施工廠商</w:t>
            </w:r>
            <w:r w:rsidR="00CE5658">
              <w:rPr>
                <w:rFonts w:ascii="標楷體" w:eastAsia="標楷體" w:hAnsi="標楷體" w:hint="eastAsia"/>
                <w:color w:val="FF0000"/>
                <w:u w:val="single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承造人</w:t>
            </w:r>
            <w:r w:rsidR="00CE5658">
              <w:rPr>
                <w:rFonts w:ascii="標楷體" w:eastAsia="標楷體" w:hAnsi="標楷體" w:hint="eastAsia"/>
                <w:color w:val="FF0000"/>
                <w:u w:val="single"/>
              </w:rPr>
              <w:t>(建築工程)</w:t>
            </w:r>
            <w:r w:rsidRPr="00AA73CA">
              <w:rPr>
                <w:rFonts w:ascii="標楷體" w:eastAsia="標楷體" w:hAnsi="標楷體" w:hint="eastAsia"/>
              </w:rPr>
              <w:t>、</w:t>
            </w:r>
            <w:r w:rsidRPr="00AA73CA">
              <w:rPr>
                <w:rFonts w:ascii="標楷體" w:eastAsia="標楷體" w:hAnsi="標楷體" w:hint="eastAsia"/>
                <w:color w:val="FF0000"/>
                <w:u w:val="single"/>
              </w:rPr>
              <w:t>工程概要、</w:t>
            </w:r>
            <w:r w:rsidRPr="00AA73CA">
              <w:rPr>
                <w:rFonts w:ascii="標楷體" w:eastAsia="標楷體" w:hAnsi="標楷體" w:hint="eastAsia"/>
              </w:rPr>
              <w:t>施工起迄時間、工地主任(負責人)姓名與電話、</w:t>
            </w:r>
            <w:r w:rsidRPr="00AA73CA">
              <w:rPr>
                <w:rFonts w:ascii="標楷體" w:eastAsia="標楷體" w:hAnsi="標楷體" w:hint="eastAsia"/>
                <w:color w:val="FF0000"/>
                <w:u w:val="single"/>
              </w:rPr>
              <w:t>專任工程人員姓名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與</w:t>
            </w:r>
            <w:r w:rsidRPr="00AA73CA">
              <w:rPr>
                <w:rFonts w:ascii="標楷體" w:eastAsia="標楷體" w:hAnsi="標楷體" w:hint="eastAsia"/>
                <w:color w:val="FF0000"/>
                <w:u w:val="single"/>
              </w:rPr>
              <w:t>電話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、經費來源</w:t>
            </w:r>
            <w:r w:rsidRPr="00AA73CA">
              <w:rPr>
                <w:rFonts w:ascii="標楷體" w:eastAsia="標楷體" w:hAnsi="標楷體" w:hint="eastAsia"/>
                <w:color w:val="FF0000"/>
                <w:u w:val="single"/>
              </w:rPr>
              <w:lastRenderedPageBreak/>
              <w:t>（包含中央政府機關補助經費）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、</w:t>
            </w:r>
            <w:r w:rsidRPr="00AA73CA">
              <w:rPr>
                <w:rFonts w:ascii="標楷體" w:eastAsia="標楷體" w:hAnsi="標楷體" w:hint="eastAsia"/>
              </w:rPr>
              <w:t>重要公告事項、</w:t>
            </w:r>
            <w:r w:rsidRPr="00FC49A2">
              <w:rPr>
                <w:rFonts w:ascii="標楷體" w:eastAsia="標楷體" w:hAnsi="標楷體" w:hint="eastAsia"/>
                <w:color w:val="FF0000"/>
                <w:u w:val="single"/>
              </w:rPr>
              <w:t>建築地址或地號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(建築工程)</w:t>
            </w:r>
            <w:r w:rsidRPr="00FC49A2">
              <w:rPr>
                <w:rFonts w:ascii="標楷體" w:eastAsia="標楷體" w:hAnsi="標楷體" w:hint="eastAsia"/>
                <w:color w:val="FF0000"/>
                <w:u w:val="single"/>
              </w:rPr>
              <w:t>、建造執照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(建築工程)</w:t>
            </w:r>
            <w:r w:rsidRPr="00FC49A2">
              <w:rPr>
                <w:rFonts w:ascii="標楷體" w:eastAsia="標楷體" w:hAnsi="標楷體" w:hint="eastAsia"/>
                <w:color w:val="FF0000"/>
                <w:u w:val="single"/>
              </w:rPr>
              <w:t>、</w:t>
            </w:r>
            <w:r w:rsidRPr="00AA73CA">
              <w:rPr>
                <w:rFonts w:ascii="標楷體" w:eastAsia="標楷體" w:hAnsi="標楷體" w:hint="eastAsia"/>
              </w:rPr>
              <w:t>全民督工電話及網址等相關通報專</w:t>
            </w:r>
            <w:r w:rsidRPr="00504C41">
              <w:rPr>
                <w:rFonts w:ascii="標楷體" w:eastAsia="標楷體" w:hAnsi="標楷體" w:cs="標楷體" w:hint="eastAsia"/>
                <w:bCs/>
              </w:rPr>
              <w:t>線。</w:t>
            </w:r>
          </w:p>
          <w:p w:rsidR="00504C41" w:rsidRPr="00504C41" w:rsidRDefault="00504C41" w:rsidP="00357983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 w:hint="eastAsia"/>
                <w:bCs/>
              </w:rPr>
              <w:t>8.3.2</w:t>
            </w:r>
            <w:r w:rsidRPr="00504C41">
              <w:rPr>
                <w:rFonts w:ascii="標楷體" w:eastAsia="標楷體" w:hAnsi="標楷體" w:cs="標楷體" w:hint="eastAsia"/>
                <w:bCs/>
              </w:rPr>
              <w:tab/>
              <w:t>查核金額以上之工程，應增列品質管理人員、安全衛生人員姓名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與</w:t>
            </w:r>
            <w:r w:rsidRPr="00504C41">
              <w:rPr>
                <w:rFonts w:ascii="標楷體" w:eastAsia="標楷體" w:hAnsi="標楷體" w:cs="標楷體" w:hint="eastAsia"/>
                <w:bCs/>
              </w:rPr>
              <w:t>電話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、</w:t>
            </w:r>
            <w:r w:rsidRPr="00504C41">
              <w:rPr>
                <w:rFonts w:ascii="標楷體" w:eastAsia="標楷體" w:hAnsi="標楷體" w:cs="標楷體" w:hint="eastAsia"/>
                <w:bCs/>
              </w:rPr>
              <w:t>工程透視圖或平面位置圖等。</w:t>
            </w:r>
          </w:p>
          <w:p w:rsidR="00504C41" w:rsidRDefault="00504C41" w:rsidP="00357983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504C41" w:rsidRDefault="00504C41" w:rsidP="00357983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 w:hint="eastAsia"/>
                <w:bCs/>
              </w:rPr>
              <w:t>8.3.3</w:t>
            </w:r>
            <w:r w:rsidRPr="00504C41">
              <w:rPr>
                <w:rFonts w:ascii="標楷體" w:eastAsia="標楷體" w:hAnsi="標楷體" w:cs="標楷體" w:hint="eastAsia"/>
                <w:bCs/>
              </w:rPr>
              <w:tab/>
              <w:t>巨額之工程，應再增列工程效益等。</w:t>
            </w:r>
          </w:p>
          <w:p w:rsidR="00504C41" w:rsidRPr="00504C41" w:rsidRDefault="00504C41" w:rsidP="00504C41">
            <w:pPr>
              <w:ind w:leftChars="74" w:left="444" w:hangingChars="111" w:hanging="266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41" w:rsidRDefault="00504C41" w:rsidP="00FC2579">
            <w:pPr>
              <w:jc w:val="both"/>
              <w:rPr>
                <w:rFonts w:ascii="標楷體" w:eastAsia="標楷體" w:hAnsi="標楷體"/>
                <w:b/>
              </w:rPr>
            </w:pPr>
            <w:r w:rsidRPr="00504C41">
              <w:rPr>
                <w:rFonts w:ascii="標楷體" w:eastAsia="標楷體" w:hAnsi="標楷體" w:hint="eastAsia"/>
                <w:b/>
              </w:rPr>
              <w:lastRenderedPageBreak/>
              <w:t>附錄2、工地管理</w:t>
            </w:r>
          </w:p>
          <w:p w:rsidR="00504C41" w:rsidRDefault="00504C41" w:rsidP="00504C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/>
                <w:bCs/>
              </w:rPr>
              <w:t>……</w:t>
            </w:r>
          </w:p>
          <w:p w:rsidR="00504C41" w:rsidRDefault="00504C41" w:rsidP="00504C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8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504C41">
              <w:rPr>
                <w:rFonts w:ascii="標楷體" w:eastAsia="標楷體" w:hAnsi="標楷體" w:cs="標楷體" w:hint="eastAsia"/>
                <w:bCs/>
              </w:rPr>
              <w:t>□工程告示牌設置（如未納入設計圖說時，由機關擇需要者於招標時載明）</w:t>
            </w:r>
          </w:p>
          <w:p w:rsidR="00504C41" w:rsidRDefault="00504C41" w:rsidP="00504C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/>
                <w:bCs/>
              </w:rPr>
              <w:t>……</w:t>
            </w:r>
          </w:p>
          <w:p w:rsidR="00504C41" w:rsidRPr="00504C41" w:rsidRDefault="00504C41" w:rsidP="00504C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8.3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504C41">
              <w:rPr>
                <w:rFonts w:ascii="標楷體" w:eastAsia="標楷體" w:hAnsi="標楷體" w:cs="標楷體" w:hint="eastAsia"/>
                <w:bCs/>
              </w:rPr>
              <w:t>工程告示牌之內容</w:t>
            </w:r>
          </w:p>
          <w:p w:rsid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 w:hint="eastAsia"/>
                <w:bCs/>
              </w:rPr>
              <w:t>8.3.1</w:t>
            </w:r>
            <w:r w:rsidRPr="00504C41">
              <w:rPr>
                <w:rFonts w:ascii="標楷體" w:eastAsia="標楷體" w:hAnsi="標楷體" w:cs="標楷體" w:hint="eastAsia"/>
                <w:bCs/>
              </w:rPr>
              <w:tab/>
              <w:t>工程名稱、主辦機關、監造單位、施工廠商、工地主任(負責人)姓名與電話、施工起迄時間、經費來源、重要公告事項、全民督工電話及網址等相關通報專線。</w:t>
            </w:r>
          </w:p>
          <w:p w:rsid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CE5658" w:rsidRDefault="00CE5658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504C41" w:rsidRP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504C41" w:rsidRP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 w:hint="eastAsia"/>
                <w:bCs/>
              </w:rPr>
              <w:t>8.3.2</w:t>
            </w:r>
            <w:r w:rsidRPr="00504C41">
              <w:rPr>
                <w:rFonts w:ascii="標楷體" w:eastAsia="標楷體" w:hAnsi="標楷體" w:cs="標楷體" w:hint="eastAsia"/>
                <w:bCs/>
              </w:rPr>
              <w:tab/>
              <w:t>查核金額以上之工程，應增列</w:t>
            </w:r>
            <w:r w:rsidRPr="00504C41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專任工程人員、</w:t>
            </w:r>
            <w:r w:rsidRPr="00504C41">
              <w:rPr>
                <w:rFonts w:ascii="標楷體" w:eastAsia="標楷體" w:hAnsi="標楷體" w:cs="標楷體" w:hint="eastAsia"/>
                <w:bCs/>
              </w:rPr>
              <w:t>品質管理人員、安全衛生人員姓名及電話，及工程透視圖或平面位置圖等。</w:t>
            </w:r>
          </w:p>
          <w:p w:rsidR="00504C41" w:rsidRDefault="00504C41" w:rsidP="00504C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504C41">
              <w:rPr>
                <w:rFonts w:ascii="標楷體" w:eastAsia="標楷體" w:hAnsi="標楷體" w:cs="標楷體" w:hint="eastAsia"/>
                <w:bCs/>
              </w:rPr>
              <w:t>8.3.3</w:t>
            </w:r>
            <w:r w:rsidRPr="00504C41">
              <w:rPr>
                <w:rFonts w:ascii="標楷體" w:eastAsia="標楷體" w:hAnsi="標楷體" w:cs="標楷體" w:hint="eastAsia"/>
                <w:bCs/>
              </w:rPr>
              <w:tab/>
              <w:t>巨額之工程，應再增列</w:t>
            </w:r>
            <w:r w:rsidRPr="00504C41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設計單位、工程概要及</w:t>
            </w:r>
            <w:r w:rsidRPr="00504C41">
              <w:rPr>
                <w:rFonts w:ascii="標楷體" w:eastAsia="標楷體" w:hAnsi="標楷體" w:cs="標楷體" w:hint="eastAsia"/>
                <w:bCs/>
              </w:rPr>
              <w:t>工程效益等。</w:t>
            </w:r>
          </w:p>
          <w:p w:rsidR="00504C41" w:rsidRPr="00504C41" w:rsidRDefault="00504C41" w:rsidP="00504C41">
            <w:pPr>
              <w:ind w:leftChars="150" w:left="972" w:hangingChars="255" w:hanging="61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C41" w:rsidRDefault="00504C41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504C41" w:rsidRDefault="00504C41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504C41" w:rsidRDefault="00504C41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504C41" w:rsidRDefault="00504C41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504C41" w:rsidRDefault="00504C41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504C41" w:rsidRDefault="00504C41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504C41" w:rsidRPr="00976BDE" w:rsidRDefault="00504C41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第8.3.1點至第8.3.3點，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參照本會108年6月19日修正之「</w:t>
            </w:r>
            <w:r w:rsidRPr="00FC49A2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工程告示牌及竣工銘牌設置要點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」第8點修正。</w:t>
            </w:r>
          </w:p>
        </w:tc>
      </w:tr>
      <w:tr w:rsidR="003C152B" w:rsidRPr="00976BDE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B" w:rsidRPr="00976BDE" w:rsidRDefault="003C152B" w:rsidP="004E5049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976BDE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附錄4、品質管理作業</w:t>
            </w:r>
          </w:p>
          <w:p w:rsidR="003C152B" w:rsidRDefault="003C152B" w:rsidP="004E5049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657024">
              <w:rPr>
                <w:rFonts w:ascii="標楷體" w:eastAsia="標楷體" w:hAnsi="標楷體" w:cs="標楷體" w:hint="eastAsia"/>
                <w:bCs/>
              </w:rPr>
              <w:t>須檢（試）驗之項目</w:t>
            </w:r>
          </w:p>
          <w:p w:rsidR="003C152B" w:rsidRDefault="003C152B" w:rsidP="00090CE2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1.1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7261DC">
              <w:rPr>
                <w:rFonts w:ascii="標楷體" w:eastAsia="標楷體" w:hAnsi="標楷體" w:cs="標楷體" w:hint="eastAsia"/>
                <w:bCs/>
                <w:spacing w:val="-2"/>
              </w:rPr>
              <w:t>下列檢驗項目，應由符合CNS 17025（ISO/IEC 17025）規定之實驗室辦理，並出具印有依標準法授權之實驗室認證機構之認可標誌之檢驗報告：（由機關依工程規模及性質，擇需要者於招標時勾選）</w:t>
            </w:r>
          </w:p>
          <w:p w:rsidR="003C152B" w:rsidRDefault="003C152B" w:rsidP="00090CE2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3C152B" w:rsidRPr="00090CE2" w:rsidRDefault="003C152B" w:rsidP="00090CE2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090CE2">
              <w:rPr>
                <w:rFonts w:ascii="標楷體" w:eastAsia="標楷體" w:hAnsi="標楷體" w:cs="標楷體" w:hint="eastAsia"/>
                <w:bCs/>
              </w:rPr>
              <w:t>1.1.5</w:t>
            </w:r>
            <w:r w:rsidRPr="00090CE2">
              <w:rPr>
                <w:rFonts w:ascii="標楷體" w:eastAsia="標楷體" w:hAnsi="標楷體" w:cs="標楷體" w:hint="eastAsia"/>
                <w:bCs/>
              </w:rPr>
              <w:tab/>
              <w:t>高壓混凝土地磚或普通磚</w:t>
            </w:r>
          </w:p>
          <w:p w:rsidR="003C152B" w:rsidRPr="00090CE2" w:rsidRDefault="003C152B" w:rsidP="00090CE2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090CE2">
              <w:rPr>
                <w:rFonts w:ascii="標楷體" w:eastAsia="標楷體" w:hAnsi="標楷體" w:cs="標楷體" w:hint="eastAsia"/>
                <w:bCs/>
              </w:rPr>
              <w:t>□高壓混凝土地磚試驗（至少含CNS 13295之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6</w:t>
            </w:r>
            <w:r w:rsidRPr="00090CE2">
              <w:rPr>
                <w:rFonts w:ascii="標楷體" w:eastAsia="標楷體" w:hAnsi="標楷體" w:cs="標楷體" w:hint="eastAsia"/>
                <w:bCs/>
              </w:rPr>
              <w:t>.1外觀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檢查</w:t>
            </w:r>
            <w:r w:rsidRPr="00090CE2">
              <w:rPr>
                <w:rFonts w:ascii="標楷體" w:eastAsia="標楷體" w:hAnsi="標楷體" w:cs="標楷體" w:hint="eastAsia"/>
                <w:bCs/>
              </w:rPr>
              <w:t>、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6</w:t>
            </w:r>
            <w:r w:rsidRPr="00090CE2">
              <w:rPr>
                <w:rFonts w:ascii="標楷體" w:eastAsia="標楷體" w:hAnsi="標楷體" w:cs="標楷體" w:hint="eastAsia"/>
                <w:bCs/>
              </w:rPr>
              <w:t>.2尺度及許可差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量測</w:t>
            </w:r>
            <w:r w:rsidRPr="00090CE2">
              <w:rPr>
                <w:rFonts w:ascii="標楷體" w:eastAsia="標楷體" w:hAnsi="標楷體" w:cs="標楷體" w:hint="eastAsia"/>
                <w:bCs/>
              </w:rPr>
              <w:t>、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6</w:t>
            </w:r>
            <w:r w:rsidRPr="00090CE2">
              <w:rPr>
                <w:rFonts w:ascii="標楷體" w:eastAsia="標楷體" w:hAnsi="標楷體" w:cs="標楷體" w:hint="eastAsia"/>
                <w:bCs/>
              </w:rPr>
              <w:t>.3抗壓強度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試驗</w:t>
            </w:r>
            <w:r w:rsidR="003D2714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計</w:t>
            </w:r>
            <w:r w:rsidRPr="00090CE2">
              <w:rPr>
                <w:rFonts w:ascii="標楷體" w:eastAsia="標楷體" w:hAnsi="標楷體" w:cs="標楷體" w:hint="eastAsia"/>
                <w:bCs/>
              </w:rPr>
              <w:t>3項）</w:t>
            </w:r>
          </w:p>
          <w:p w:rsidR="003C152B" w:rsidRDefault="003C152B" w:rsidP="00090CE2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090CE2">
              <w:rPr>
                <w:rFonts w:ascii="標楷體" w:eastAsia="標楷體" w:hAnsi="標楷體" w:cs="標楷體" w:hint="eastAsia"/>
                <w:bCs/>
              </w:rPr>
              <w:lastRenderedPageBreak/>
              <w:t>□普通磚試驗。</w:t>
            </w:r>
          </w:p>
          <w:p w:rsidR="003C152B" w:rsidRPr="00090CE2" w:rsidRDefault="003C152B" w:rsidP="002F67D4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3C152B" w:rsidRPr="00976BDE" w:rsidRDefault="003C152B" w:rsidP="004E5049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  <w:t>品質管制</w:t>
            </w:r>
          </w:p>
          <w:p w:rsidR="003C152B" w:rsidRPr="002F67D4" w:rsidRDefault="003C152B" w:rsidP="002F67D4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  <w:t>品質計畫</w:t>
            </w:r>
          </w:p>
          <w:p w:rsidR="003C152B" w:rsidRPr="002F67D4" w:rsidRDefault="003C152B" w:rsidP="002F67D4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3.1.1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新臺幣1百萬元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以上之工程，廠商應提報以下品質計畫，送機關核准後確實執行：</w:t>
            </w:r>
          </w:p>
          <w:p w:rsidR="003C152B" w:rsidRDefault="003C152B" w:rsidP="002F67D4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至遲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於開工前＿日（由機關依工程規模及性質，於招標時載明；未載明者，為開工前1日）提報整體品質計畫。</w:t>
            </w:r>
          </w:p>
          <w:p w:rsidR="003C152B" w:rsidRDefault="003C152B" w:rsidP="002F67D4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(2)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至遲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於分項工程施工前＿日（由機關依工程規模及性質，於招標時載明；未載明者，為施工前1日）提報分項品質計畫，須提報之分項工程如下：＿＿。</w:t>
            </w:r>
          </w:p>
          <w:p w:rsidR="003C152B" w:rsidRDefault="003C152B" w:rsidP="002F67D4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3.1.2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新臺幣5千萬元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以上之工程，整體品質計畫之內容包括：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387869">
              <w:rPr>
                <w:rFonts w:ascii="標楷體" w:eastAsia="標楷體" w:hAnsi="標楷體" w:hint="eastAsia"/>
              </w:rPr>
              <w:t>(1)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計畫範圍</w:t>
            </w:r>
            <w:r w:rsidRPr="00387869">
              <w:rPr>
                <w:rFonts w:ascii="標楷體" w:eastAsia="標楷體" w:hAnsi="標楷體" w:hint="eastAsia"/>
              </w:rPr>
              <w:t>。</w:t>
            </w:r>
          </w:p>
          <w:p w:rsidR="00825F1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  <w:color w:val="FF0000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(2)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>
              <w:rPr>
                <w:rFonts w:ascii="標楷體" w:eastAsia="標楷體" w:hAnsi="標楷體" w:hint="eastAsia"/>
              </w:rPr>
              <w:t>管理</w:t>
            </w: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權責及分工</w:t>
            </w:r>
            <w:r w:rsidRPr="00886039">
              <w:rPr>
                <w:rFonts w:ascii="標楷體" w:eastAsia="標楷體" w:hAnsi="標楷體" w:hint="eastAsia"/>
              </w:rPr>
              <w:t>。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(3)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施工要領。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(4)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品質管理標準。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(5)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材料及施工檢驗程序。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(6)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自主檢查表。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(7)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不合格品之管制。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lastRenderedPageBreak/>
              <w:t>(8)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矯正與預防措施。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(9)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內部品質稽核。</w:t>
            </w:r>
          </w:p>
          <w:p w:rsidR="00825F19" w:rsidRPr="0038786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(10)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文件紀錄管理系統。</w:t>
            </w:r>
          </w:p>
          <w:p w:rsidR="00825F19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(11)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Pr="00387869">
              <w:rPr>
                <w:rFonts w:ascii="標楷體" w:eastAsia="標楷體" w:hAnsi="標楷體" w:hint="eastAsia"/>
              </w:rPr>
              <w:t>設備功能運轉檢測程序及標準（無機電設備者免）。</w:t>
            </w:r>
          </w:p>
          <w:p w:rsidR="003D33D1" w:rsidRDefault="00825F19" w:rsidP="00825F19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(12)</w:t>
            </w:r>
            <w:r w:rsidR="003D33D1" w:rsidRPr="003D33D1">
              <w:rPr>
                <w:rFonts w:ascii="標楷體" w:eastAsia="標楷體" w:hAnsi="標楷體" w:cs="標楷體" w:hint="eastAsia"/>
                <w:bCs/>
              </w:rPr>
              <w:tab/>
              <w:t>其他：（由機關於招標時載明）。</w:t>
            </w:r>
          </w:p>
          <w:p w:rsidR="003C152B" w:rsidRDefault="003C152B" w:rsidP="002F67D4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3.1.3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</w:r>
            <w:r w:rsidRPr="007261DC">
              <w:rPr>
                <w:rFonts w:ascii="標楷體" w:eastAsia="標楷體" w:hAnsi="標楷體" w:cs="標楷體" w:hint="eastAsia"/>
                <w:bCs/>
              </w:rPr>
              <w:t>新臺幣1</w:t>
            </w:r>
            <w:r w:rsidRPr="007261DC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千</w:t>
            </w:r>
            <w:r w:rsidRPr="007261DC">
              <w:rPr>
                <w:rFonts w:ascii="標楷體" w:eastAsia="標楷體" w:hAnsi="標楷體" w:cs="標楷體" w:hint="eastAsia"/>
                <w:bCs/>
              </w:rPr>
              <w:t>萬元以上未達</w:t>
            </w:r>
            <w:r w:rsidRPr="007261DC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5千萬元</w:t>
            </w:r>
            <w:r w:rsidRPr="007261DC">
              <w:rPr>
                <w:rFonts w:ascii="標楷體" w:eastAsia="標楷體" w:hAnsi="標楷體" w:cs="標楷體" w:hint="eastAsia"/>
                <w:bCs/>
              </w:rPr>
              <w:t>之工程，整體品質計畫之內容包括：</w:t>
            </w:r>
          </w:p>
          <w:p w:rsidR="003F2E94" w:rsidRPr="00387869" w:rsidRDefault="003D33D1" w:rsidP="003F2E94">
            <w:pPr>
              <w:ind w:leftChars="546" w:left="1591" w:hangingChars="117" w:hanging="281"/>
              <w:jc w:val="both"/>
              <w:rPr>
                <w:rFonts w:ascii="標楷體" w:eastAsia="標楷體" w:hAnsi="標楷體"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(1)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="003F2E94">
              <w:rPr>
                <w:rFonts w:ascii="標楷體" w:eastAsia="標楷體" w:hAnsi="標楷體" w:hint="eastAsia"/>
                <w:color w:val="FF0000"/>
                <w:u w:val="single"/>
              </w:rPr>
              <w:t>計畫範圍</w:t>
            </w:r>
            <w:r w:rsidR="003F2E94" w:rsidRPr="00387869">
              <w:rPr>
                <w:rFonts w:ascii="標楷體" w:eastAsia="標楷體" w:hAnsi="標楷體" w:hint="eastAsia"/>
              </w:rPr>
              <w:t>。</w:t>
            </w:r>
          </w:p>
          <w:p w:rsidR="003F2E94" w:rsidRDefault="003F2E94" w:rsidP="003F2E94">
            <w:pPr>
              <w:ind w:leftChars="546" w:left="1591" w:hangingChars="117" w:hanging="281"/>
              <w:jc w:val="both"/>
              <w:rPr>
                <w:rFonts w:ascii="標楷體" w:eastAsia="標楷體" w:hAnsi="標楷體"/>
                <w:color w:val="FF0000"/>
              </w:rPr>
            </w:pP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(2)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>
              <w:rPr>
                <w:rFonts w:ascii="標楷體" w:eastAsia="標楷體" w:hAnsi="標楷體" w:hint="eastAsia"/>
              </w:rPr>
              <w:t>管理</w:t>
            </w:r>
            <w:r w:rsidRPr="00886039">
              <w:rPr>
                <w:rFonts w:ascii="標楷體" w:eastAsia="標楷體" w:hAnsi="標楷體" w:hint="eastAsia"/>
                <w:color w:val="FF0000"/>
                <w:u w:val="single"/>
              </w:rPr>
              <w:t>權責及分工</w:t>
            </w:r>
            <w:r w:rsidRPr="00886039">
              <w:rPr>
                <w:rFonts w:ascii="標楷體" w:eastAsia="標楷體" w:hAnsi="標楷體" w:hint="eastAsia"/>
              </w:rPr>
              <w:t>。</w:t>
            </w:r>
          </w:p>
          <w:p w:rsidR="003D33D1" w:rsidRPr="003D33D1" w:rsidRDefault="003F2E94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(3)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="003D33D1" w:rsidRPr="003D33D1">
              <w:rPr>
                <w:rFonts w:ascii="標楷體" w:eastAsia="標楷體" w:hAnsi="標楷體" w:cs="標楷體" w:hint="eastAsia"/>
                <w:bCs/>
              </w:rPr>
              <w:t>品質管理標準。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(</w:t>
            </w:r>
            <w:r w:rsidR="003F2E94">
              <w:rPr>
                <w:rFonts w:ascii="標楷體" w:eastAsia="標楷體" w:hAnsi="標楷體" w:hint="eastAsia"/>
                <w:color w:val="FF0000"/>
                <w:u w:val="single"/>
              </w:rPr>
              <w:t>4</w:t>
            </w: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="003F2E94" w:rsidRPr="003D33D1">
              <w:rPr>
                <w:rFonts w:ascii="標楷體" w:eastAsia="標楷體" w:hAnsi="標楷體" w:cs="標楷體" w:hint="eastAsia"/>
                <w:bCs/>
              </w:rPr>
              <w:t>材料及施工檢驗程序。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(</w:t>
            </w:r>
            <w:r w:rsidR="003F2E94">
              <w:rPr>
                <w:rFonts w:ascii="標楷體" w:eastAsia="標楷體" w:hAnsi="標楷體" w:hint="eastAsia"/>
                <w:color w:val="FF0000"/>
                <w:u w:val="single"/>
              </w:rPr>
              <w:t>5</w:t>
            </w: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="003F2E94" w:rsidRPr="003D33D1">
              <w:rPr>
                <w:rFonts w:ascii="標楷體" w:eastAsia="標楷體" w:hAnsi="標楷體" w:cs="標楷體" w:hint="eastAsia"/>
                <w:bCs/>
              </w:rPr>
              <w:t>自主檢查表。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(</w:t>
            </w:r>
            <w:r w:rsidR="003F2E94">
              <w:rPr>
                <w:rFonts w:ascii="標楷體" w:eastAsia="標楷體" w:hAnsi="標楷體" w:hint="eastAsia"/>
                <w:color w:val="FF0000"/>
                <w:u w:val="single"/>
              </w:rPr>
              <w:t>6</w:t>
            </w: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文件紀錄管理系統。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(</w:t>
            </w:r>
            <w:r w:rsidR="003F2E94">
              <w:rPr>
                <w:rFonts w:ascii="標楷體" w:eastAsia="標楷體" w:hAnsi="標楷體" w:hint="eastAsia"/>
                <w:color w:val="FF0000"/>
                <w:u w:val="single"/>
              </w:rPr>
              <w:t>7</w:t>
            </w: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設備功能運轉檢測程序及標準（無機電設備者免）。</w:t>
            </w:r>
          </w:p>
          <w:p w:rsid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(</w:t>
            </w:r>
            <w:r w:rsidR="003F2E94">
              <w:rPr>
                <w:rFonts w:ascii="標楷體" w:eastAsia="標楷體" w:hAnsi="標楷體" w:hint="eastAsia"/>
                <w:color w:val="FF0000"/>
                <w:u w:val="single"/>
              </w:rPr>
              <w:t>8</w:t>
            </w:r>
            <w:r w:rsidRPr="003F2E94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其他：（由機關於招標時載明）。</w:t>
            </w:r>
          </w:p>
          <w:p w:rsidR="003C152B" w:rsidRDefault="003C152B" w:rsidP="002F67D4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3.1.4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新臺幣1百萬元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以上未達1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千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萬元之工程，整體品質計畫之內容包括：</w:t>
            </w:r>
          </w:p>
          <w:p w:rsidR="003F2E94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(1)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="003F2E94" w:rsidRPr="003F2E94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管理權責及分工</w:t>
            </w:r>
            <w:r w:rsidR="003F2E94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:rsidR="003F2E94" w:rsidRPr="003D33D1" w:rsidRDefault="003F2E94" w:rsidP="003F2E94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(2)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材料及施工檢驗程序。</w:t>
            </w:r>
          </w:p>
          <w:p w:rsidR="003D33D1" w:rsidRPr="003D33D1" w:rsidRDefault="003F2E94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(3)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</w:r>
            <w:r w:rsidR="003D33D1" w:rsidRPr="003D33D1">
              <w:rPr>
                <w:rFonts w:ascii="標楷體" w:eastAsia="標楷體" w:hAnsi="標楷體" w:cs="標楷體" w:hint="eastAsia"/>
                <w:bCs/>
              </w:rPr>
              <w:t>自主檢查表。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F2E94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(</w:t>
            </w:r>
            <w:r w:rsidR="003F2E94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4</w:t>
            </w:r>
            <w:r w:rsidRPr="003F2E94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設備功能運轉檢測程序及標準</w:t>
            </w:r>
            <w:r w:rsidRPr="003D33D1">
              <w:rPr>
                <w:rFonts w:ascii="標楷體" w:eastAsia="標楷體" w:hAnsi="標楷體" w:cs="標楷體" w:hint="eastAsia"/>
                <w:bCs/>
              </w:rPr>
              <w:lastRenderedPageBreak/>
              <w:t>（無機電設備者免）。</w:t>
            </w:r>
          </w:p>
          <w:p w:rsid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F2E94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(</w:t>
            </w:r>
            <w:r w:rsidR="003F2E94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5</w:t>
            </w:r>
            <w:r w:rsidRPr="003F2E94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其他：（由機關於招標時載明）。</w:t>
            </w:r>
          </w:p>
          <w:p w:rsidR="003C152B" w:rsidRPr="001312BD" w:rsidRDefault="003C152B" w:rsidP="002F67D4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3C152B" w:rsidRPr="00F666A9" w:rsidRDefault="003C152B" w:rsidP="00F666A9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F666A9">
              <w:rPr>
                <w:rFonts w:ascii="標楷體" w:eastAsia="標楷體" w:hAnsi="標楷體" w:cs="標楷體" w:hint="eastAsia"/>
                <w:bCs/>
              </w:rPr>
              <w:t>3.2</w:t>
            </w:r>
            <w:r w:rsidRPr="00F666A9">
              <w:rPr>
                <w:rFonts w:ascii="標楷體" w:eastAsia="標楷體" w:hAnsi="標楷體" w:cs="標楷體" w:hint="eastAsia"/>
                <w:bCs/>
              </w:rPr>
              <w:tab/>
              <w:t>新臺幣2</w:t>
            </w:r>
            <w:r>
              <w:rPr>
                <w:rFonts w:ascii="標楷體" w:eastAsia="標楷體" w:hAnsi="標楷體" w:cs="標楷體" w:hint="eastAsia"/>
                <w:bCs/>
              </w:rPr>
              <w:t>千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萬元以上之工程，品管人員之設置規定</w:t>
            </w:r>
          </w:p>
          <w:p w:rsidR="003C152B" w:rsidRPr="00F666A9" w:rsidRDefault="003C152B" w:rsidP="00F666A9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F666A9">
              <w:rPr>
                <w:rFonts w:ascii="標楷體" w:eastAsia="標楷體" w:hAnsi="標楷體" w:cs="標楷體" w:hint="eastAsia"/>
                <w:bCs/>
              </w:rPr>
              <w:t>3.2.1</w:t>
            </w:r>
            <w:r w:rsidRPr="00F666A9">
              <w:rPr>
                <w:rFonts w:ascii="標楷體" w:eastAsia="標楷體" w:hAnsi="標楷體" w:cs="標楷體" w:hint="eastAsia"/>
                <w:bCs/>
              </w:rPr>
              <w:tab/>
              <w:t>人數應有＿人（新臺幣2</w:t>
            </w:r>
            <w:r>
              <w:rPr>
                <w:rFonts w:ascii="標楷體" w:eastAsia="標楷體" w:hAnsi="標楷體" w:cs="標楷體" w:hint="eastAsia"/>
                <w:bCs/>
              </w:rPr>
              <w:t>千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萬元以上，未達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2億元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之工程，至少1人。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2億元</w:t>
            </w:r>
            <w:r w:rsidR="00E832BF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以上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之工程，至少2人）。</w:t>
            </w:r>
          </w:p>
          <w:p w:rsidR="003C152B" w:rsidRDefault="003C152B" w:rsidP="00F666A9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3C152B" w:rsidRPr="00F666A9" w:rsidRDefault="003C152B" w:rsidP="001312BD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F666A9">
              <w:rPr>
                <w:rFonts w:ascii="標楷體" w:eastAsia="標楷體" w:hAnsi="標楷體" w:cs="標楷體" w:hint="eastAsia"/>
                <w:bCs/>
              </w:rPr>
              <w:t>3.2.4</w:t>
            </w:r>
            <w:r w:rsidRPr="00F666A9">
              <w:rPr>
                <w:rFonts w:ascii="標楷體" w:eastAsia="標楷體" w:hAnsi="標楷體" w:cs="標楷體" w:hint="eastAsia"/>
                <w:bCs/>
              </w:rPr>
              <w:tab/>
            </w:r>
            <w:r w:rsidRPr="001312BD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新臺幣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5千</w:t>
            </w:r>
            <w:r w:rsidRPr="001312BD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萬元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以上之工程，品管人員應專職，不得跨越其他標案，且</w:t>
            </w:r>
            <w:r w:rsidR="0001102B">
              <w:rPr>
                <w:rFonts w:ascii="標楷體" w:eastAsia="標楷體" w:hAnsi="標楷體" w:hint="eastAsia"/>
                <w:color w:val="FF0000"/>
                <w:u w:val="single"/>
              </w:rPr>
              <w:t>契約</w:t>
            </w:r>
            <w:r w:rsidR="0001102B" w:rsidRPr="00FC7644">
              <w:rPr>
                <w:rFonts w:ascii="標楷體" w:eastAsia="標楷體" w:hAnsi="標楷體" w:hint="eastAsia"/>
              </w:rPr>
              <w:t>施工</w:t>
            </w:r>
            <w:r w:rsidR="0001102B">
              <w:rPr>
                <w:rFonts w:ascii="標楷體" w:eastAsia="標楷體" w:hAnsi="標楷體" w:hint="eastAsia"/>
                <w:color w:val="FF0000"/>
                <w:u w:val="single"/>
              </w:rPr>
              <w:t>期間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應在工地執行職務；新臺幣2</w:t>
            </w:r>
            <w:r>
              <w:rPr>
                <w:rFonts w:ascii="標楷體" w:eastAsia="標楷體" w:hAnsi="標楷體" w:cs="標楷體" w:hint="eastAsia"/>
                <w:bCs/>
              </w:rPr>
              <w:t>千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萬元以上未達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5千</w:t>
            </w:r>
            <w:r w:rsidRPr="001312BD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萬元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之工程，品管人員得同時擔任其他法規允許之職務，但不得跨越其他標案，且</w:t>
            </w:r>
            <w:r w:rsidR="0001102B">
              <w:rPr>
                <w:rFonts w:ascii="標楷體" w:eastAsia="標楷體" w:hAnsi="標楷體" w:hint="eastAsia"/>
                <w:color w:val="FF0000"/>
                <w:u w:val="single"/>
              </w:rPr>
              <w:t>契約</w:t>
            </w:r>
            <w:r w:rsidR="0001102B" w:rsidRPr="00FC7644">
              <w:rPr>
                <w:rFonts w:ascii="標楷體" w:eastAsia="標楷體" w:hAnsi="標楷體" w:hint="eastAsia"/>
              </w:rPr>
              <w:t>施工</w:t>
            </w:r>
            <w:r w:rsidR="0001102B">
              <w:rPr>
                <w:rFonts w:ascii="標楷體" w:eastAsia="標楷體" w:hAnsi="標楷體" w:hint="eastAsia"/>
                <w:color w:val="FF0000"/>
                <w:u w:val="single"/>
              </w:rPr>
              <w:t>期間</w:t>
            </w:r>
            <w:r w:rsidRPr="00F666A9">
              <w:rPr>
                <w:rFonts w:ascii="標楷體" w:eastAsia="標楷體" w:hAnsi="標楷體" w:cs="標楷體" w:hint="eastAsia"/>
                <w:bCs/>
              </w:rPr>
              <w:t>應在工地執行職務。</w:t>
            </w:r>
          </w:p>
          <w:p w:rsidR="003C152B" w:rsidRPr="00976BDE" w:rsidRDefault="003C152B" w:rsidP="002F67D4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976BDE"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B" w:rsidRPr="00976BDE" w:rsidRDefault="003C152B" w:rsidP="001312BD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976BDE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附錄4、品質管理作業</w:t>
            </w:r>
          </w:p>
          <w:p w:rsidR="003C152B" w:rsidRDefault="003C152B" w:rsidP="001312BD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657024">
              <w:rPr>
                <w:rFonts w:ascii="標楷體" w:eastAsia="標楷體" w:hAnsi="標楷體" w:cs="標楷體" w:hint="eastAsia"/>
                <w:bCs/>
              </w:rPr>
              <w:t>須檢（試）驗之項目</w:t>
            </w:r>
          </w:p>
          <w:p w:rsidR="003C152B" w:rsidRDefault="003C152B" w:rsidP="001312BD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1.1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7261DC">
              <w:rPr>
                <w:rFonts w:ascii="標楷體" w:eastAsia="標楷體" w:hAnsi="標楷體" w:cs="標楷體" w:hint="eastAsia"/>
                <w:bCs/>
                <w:spacing w:val="-2"/>
              </w:rPr>
              <w:t>下列檢驗項目，應由符合CNS 17025（ISO/IEC 17025）規定之實驗室辦理，並出具印有依標準法授權之實驗室認證機構之認可標誌之檢驗報告：（由機關依工程規模及性質，擇需要者於招標時勾選）</w:t>
            </w:r>
          </w:p>
          <w:p w:rsidR="003C152B" w:rsidRDefault="003C152B" w:rsidP="001312BD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3C152B" w:rsidRPr="00090CE2" w:rsidRDefault="003C152B" w:rsidP="001312BD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090CE2">
              <w:rPr>
                <w:rFonts w:ascii="標楷體" w:eastAsia="標楷體" w:hAnsi="標楷體" w:cs="標楷體" w:hint="eastAsia"/>
                <w:bCs/>
              </w:rPr>
              <w:t>1.1.5</w:t>
            </w:r>
            <w:r w:rsidRPr="00090CE2">
              <w:rPr>
                <w:rFonts w:ascii="標楷體" w:eastAsia="標楷體" w:hAnsi="標楷體" w:cs="標楷體" w:hint="eastAsia"/>
                <w:bCs/>
              </w:rPr>
              <w:tab/>
              <w:t>高壓混凝土地磚或普通磚</w:t>
            </w:r>
          </w:p>
          <w:p w:rsidR="003C152B" w:rsidRPr="00090CE2" w:rsidRDefault="003C152B" w:rsidP="001312BD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090CE2">
              <w:rPr>
                <w:rFonts w:ascii="標楷體" w:eastAsia="標楷體" w:hAnsi="標楷體" w:cs="標楷體" w:hint="eastAsia"/>
                <w:bCs/>
              </w:rPr>
              <w:t>□高壓混凝土地磚試驗（至少含CNS 13295之5.1外觀狀態、5.2</w:t>
            </w:r>
            <w:r w:rsidRPr="00090CE2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形狀、</w:t>
            </w:r>
            <w:r w:rsidRPr="00090CE2">
              <w:rPr>
                <w:rFonts w:ascii="標楷體" w:eastAsia="標楷體" w:hAnsi="標楷體" w:cs="標楷體" w:hint="eastAsia"/>
                <w:bCs/>
              </w:rPr>
              <w:t>尺度及</w:t>
            </w:r>
            <w:r w:rsidRPr="00090CE2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其</w:t>
            </w:r>
            <w:r w:rsidRPr="00090CE2">
              <w:rPr>
                <w:rFonts w:ascii="標楷體" w:eastAsia="標楷體" w:hAnsi="標楷體" w:cs="標楷體" w:hint="eastAsia"/>
                <w:bCs/>
              </w:rPr>
              <w:t>許可差、5.3抗壓強度等3項）</w:t>
            </w:r>
          </w:p>
          <w:p w:rsidR="003C152B" w:rsidRDefault="003C152B" w:rsidP="001312BD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090CE2">
              <w:rPr>
                <w:rFonts w:ascii="標楷體" w:eastAsia="標楷體" w:hAnsi="標楷體" w:cs="標楷體" w:hint="eastAsia"/>
                <w:bCs/>
              </w:rPr>
              <w:lastRenderedPageBreak/>
              <w:t>□普通磚試驗。</w:t>
            </w:r>
          </w:p>
          <w:p w:rsidR="003C152B" w:rsidRPr="00090CE2" w:rsidRDefault="003C152B" w:rsidP="002F67D4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3C152B" w:rsidRPr="00976BDE" w:rsidRDefault="003C152B" w:rsidP="002F67D4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</w:t>
            </w:r>
            <w:r w:rsidRPr="00976BDE">
              <w:rPr>
                <w:rFonts w:ascii="標楷體" w:eastAsia="標楷體" w:hAnsi="標楷體" w:cs="標楷體" w:hint="eastAsia"/>
                <w:bCs/>
              </w:rPr>
              <w:tab/>
            </w:r>
            <w:r w:rsidRPr="002F67D4">
              <w:rPr>
                <w:rFonts w:ascii="標楷體" w:eastAsia="標楷體" w:hAnsi="標楷體" w:cs="標楷體" w:hint="eastAsia"/>
                <w:bCs/>
              </w:rPr>
              <w:t>品質管制</w:t>
            </w:r>
          </w:p>
          <w:p w:rsidR="003C152B" w:rsidRPr="002F67D4" w:rsidRDefault="003C152B" w:rsidP="002F67D4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  <w:t>品質計畫</w:t>
            </w:r>
          </w:p>
          <w:p w:rsidR="003C152B" w:rsidRPr="002F67D4" w:rsidRDefault="003C152B" w:rsidP="002F67D4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3.1.1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  <w:t>公告金額以上之工程，廠商應提報以下品質計畫，送機關核准後確實執行：</w:t>
            </w:r>
          </w:p>
          <w:p w:rsidR="003C152B" w:rsidRDefault="003C152B" w:rsidP="002F67D4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(1)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於開工前＿日（由機關依工程規模及性質，於招標時載明；未載明者，為開工前1日）</w:t>
            </w:r>
            <w:r w:rsidRPr="00A860FD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內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提報整體品質計畫。</w:t>
            </w:r>
          </w:p>
          <w:p w:rsidR="003C152B" w:rsidRDefault="003C152B" w:rsidP="002F67D4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(2)於分項工程施工前＿日（由機關依工程規模及性質，於招標時載明；未載明者，為施工前1日）</w:t>
            </w:r>
            <w:r w:rsidRPr="00A860FD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內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提報分項品質計畫，須提報之分項工程如下：＿＿。</w:t>
            </w:r>
          </w:p>
          <w:p w:rsidR="003C152B" w:rsidRDefault="003C152B" w:rsidP="002F67D4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3.1.2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  <w:t>查核金額以上之工程，整體品質計畫之內容包括：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(1)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管理責任。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(2)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施工要領。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(3)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品質管理標準。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(4)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材料及施工檢驗程序。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(5)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自主檢查表。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(6)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不合格品之管制。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(7)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矯正與預防措施。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lastRenderedPageBreak/>
              <w:t>(8)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內部品質稽核。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(9)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文件紀錄管理系統。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(10)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設備功能運轉檢測程序及標準（無機電設備者免）。</w:t>
            </w:r>
          </w:p>
          <w:p w:rsid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(11)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其他：（由機關於招標時載明）。</w:t>
            </w:r>
          </w:p>
          <w:p w:rsidR="00825F19" w:rsidRDefault="00825F19" w:rsidP="003D33D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3C152B" w:rsidRDefault="003C152B" w:rsidP="003D33D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3.1.3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</w:r>
            <w:r w:rsidRPr="007261DC">
              <w:rPr>
                <w:rFonts w:ascii="標楷體" w:eastAsia="標楷體" w:hAnsi="標楷體" w:cs="標楷體" w:hint="eastAsia"/>
                <w:bCs/>
              </w:rPr>
              <w:t>新臺幣1,000萬元以上未達查核金額之工程，整體品質計畫之內容包括：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(1)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品質管理標準。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(2)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自主檢查表。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(3)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材料及施工檢驗程序。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(4)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文件紀錄管理系統。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(5)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設備功能運轉檢測程序及標準（無機電設備者免）。</w:t>
            </w:r>
          </w:p>
          <w:p w:rsid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(6)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其他：（由機關於招標時載明）。</w:t>
            </w:r>
          </w:p>
          <w:p w:rsidR="003F2E94" w:rsidRDefault="003F2E94" w:rsidP="003D33D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3F2E94" w:rsidRDefault="003F2E94" w:rsidP="003D33D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3C152B" w:rsidRDefault="003C152B" w:rsidP="003D33D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2F67D4">
              <w:rPr>
                <w:rFonts w:ascii="標楷體" w:eastAsia="標楷體" w:hAnsi="標楷體" w:cs="標楷體" w:hint="eastAsia"/>
                <w:bCs/>
              </w:rPr>
              <w:t>3.1.4</w:t>
            </w:r>
            <w:r w:rsidRPr="002F67D4">
              <w:rPr>
                <w:rFonts w:ascii="標楷體" w:eastAsia="標楷體" w:hAnsi="標楷體" w:cs="標楷體" w:hint="eastAsia"/>
                <w:bCs/>
              </w:rPr>
              <w:tab/>
              <w:t>公告金額以上未達</w:t>
            </w:r>
            <w:r w:rsidRPr="009115AC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新臺幣</w:t>
            </w:r>
            <w:r w:rsidRPr="002F67D4">
              <w:rPr>
                <w:rFonts w:ascii="標楷體" w:eastAsia="標楷體" w:hAnsi="標楷體" w:cs="標楷體" w:hint="eastAsia"/>
                <w:bCs/>
              </w:rPr>
              <w:t>1,000萬元之工程，整體品質計畫之內容包括：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(1)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自主檢查表。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(2)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材料及施工檢驗程序。</w:t>
            </w:r>
          </w:p>
          <w:p w:rsidR="003D33D1" w:rsidRP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t>(3)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設備功能運轉檢測程序及標準（無機電設備者免）。</w:t>
            </w:r>
          </w:p>
          <w:p w:rsidR="003D33D1" w:rsidRDefault="003D33D1" w:rsidP="003D33D1">
            <w:pPr>
              <w:ind w:leftChars="546" w:left="1591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 w:rsidRPr="003D33D1">
              <w:rPr>
                <w:rFonts w:ascii="標楷體" w:eastAsia="標楷體" w:hAnsi="標楷體" w:cs="標楷體" w:hint="eastAsia"/>
                <w:bCs/>
              </w:rPr>
              <w:lastRenderedPageBreak/>
              <w:t>(4)</w:t>
            </w:r>
            <w:r w:rsidRPr="003D33D1">
              <w:rPr>
                <w:rFonts w:ascii="標楷體" w:eastAsia="標楷體" w:hAnsi="標楷體" w:cs="標楷體" w:hint="eastAsia"/>
                <w:bCs/>
              </w:rPr>
              <w:tab/>
              <w:t>其他：（由機關於招標時載明）。</w:t>
            </w:r>
          </w:p>
          <w:p w:rsidR="003C152B" w:rsidRDefault="003C152B" w:rsidP="001312BD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3F2E94" w:rsidRDefault="003F2E94" w:rsidP="00F666A9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</w:p>
          <w:p w:rsidR="003C152B" w:rsidRPr="00F666A9" w:rsidRDefault="003C152B" w:rsidP="00F666A9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F666A9">
              <w:rPr>
                <w:rFonts w:ascii="標楷體" w:eastAsia="標楷體" w:hAnsi="標楷體" w:cs="標楷體" w:hint="eastAsia"/>
                <w:bCs/>
              </w:rPr>
              <w:t>3.2</w:t>
            </w:r>
            <w:r w:rsidRPr="00F666A9">
              <w:rPr>
                <w:rFonts w:ascii="標楷體" w:eastAsia="標楷體" w:hAnsi="標楷體" w:cs="標楷體" w:hint="eastAsia"/>
                <w:bCs/>
              </w:rPr>
              <w:tab/>
              <w:t>新臺幣2千萬元以上之工程，品管人員之設置規定</w:t>
            </w:r>
          </w:p>
          <w:p w:rsidR="003C152B" w:rsidRPr="00F666A9" w:rsidRDefault="003C152B" w:rsidP="00F666A9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F666A9">
              <w:rPr>
                <w:rFonts w:ascii="標楷體" w:eastAsia="標楷體" w:hAnsi="標楷體" w:cs="標楷體" w:hint="eastAsia"/>
                <w:bCs/>
              </w:rPr>
              <w:t>3.2.1</w:t>
            </w:r>
            <w:r w:rsidRPr="00F666A9">
              <w:rPr>
                <w:rFonts w:ascii="標楷體" w:eastAsia="標楷體" w:hAnsi="標楷體" w:cs="標楷體" w:hint="eastAsia"/>
                <w:bCs/>
              </w:rPr>
              <w:tab/>
              <w:t>人數應有＿人（新臺幣2千萬元以上，未達巨額採購之工程，至少1人。巨額採購之工程，至少2人）。</w:t>
            </w:r>
          </w:p>
          <w:p w:rsidR="003C152B" w:rsidRPr="00F666A9" w:rsidRDefault="003C152B" w:rsidP="00F666A9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3C152B" w:rsidRPr="00F666A9" w:rsidRDefault="003C152B" w:rsidP="00F666A9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 w:rsidRPr="00F666A9">
              <w:rPr>
                <w:rFonts w:ascii="標楷體" w:eastAsia="標楷體" w:hAnsi="標楷體" w:cs="標楷體" w:hint="eastAsia"/>
                <w:bCs/>
              </w:rPr>
              <w:t>3.2.4</w:t>
            </w:r>
            <w:r w:rsidRPr="00F666A9">
              <w:rPr>
                <w:rFonts w:ascii="標楷體" w:eastAsia="標楷體" w:hAnsi="標楷體" w:cs="標楷體" w:hint="eastAsia"/>
                <w:bCs/>
              </w:rPr>
              <w:tab/>
              <w:t>查核金額以上之工程，品管人員應專職，不得跨越其他標案，且施工時應在工地執行職務；新臺幣2千萬元以上未達查核金額之工程，品管人員得同時擔任其他法規允許之職務，但不得跨越其他標案，且施工時應在工地執行職務。</w:t>
            </w:r>
          </w:p>
          <w:p w:rsidR="003C152B" w:rsidRPr="00976BDE" w:rsidRDefault="003C152B" w:rsidP="001312BD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976BDE"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2B" w:rsidRPr="00976BDE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Pr="00976BDE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Pr="00976BDE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Pr="00976BDE" w:rsidRDefault="003C152B" w:rsidP="004E5049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numPr>
                <w:ilvl w:val="0"/>
                <w:numId w:val="48"/>
              </w:numPr>
              <w:ind w:left="317" w:hanging="317"/>
              <w:jc w:val="both"/>
              <w:rPr>
                <w:rFonts w:ascii="標楷體" w:eastAsia="標楷體" w:hAnsi="標楷體"/>
                <w:color w:val="0000FF"/>
              </w:rPr>
            </w:pPr>
            <w:r w:rsidRPr="00976BDE">
              <w:rPr>
                <w:rFonts w:ascii="標楷體" w:eastAsia="標楷體" w:hAnsi="標楷體" w:hint="eastAsia"/>
                <w:color w:val="0000FF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</w:rPr>
              <w:t>1.1.5</w:t>
            </w:r>
            <w:r w:rsidRPr="00976BDE">
              <w:rPr>
                <w:rFonts w:ascii="標楷體" w:eastAsia="標楷體" w:hAnsi="標楷體" w:hint="eastAsia"/>
                <w:color w:val="0000FF"/>
              </w:rPr>
              <w:t>點</w:t>
            </w:r>
            <w:r>
              <w:rPr>
                <w:rFonts w:ascii="標楷體" w:eastAsia="標楷體" w:hAnsi="標楷體" w:hint="eastAsia"/>
                <w:color w:val="0000FF"/>
              </w:rPr>
              <w:t>第1選項</w:t>
            </w:r>
            <w:r w:rsidRPr="00976BDE">
              <w:rPr>
                <w:rFonts w:ascii="標楷體" w:eastAsia="標楷體" w:hAnsi="標楷體" w:hint="eastAsia"/>
                <w:color w:val="0000FF"/>
              </w:rPr>
              <w:t>，</w:t>
            </w:r>
            <w:r>
              <w:rPr>
                <w:rFonts w:ascii="標楷體" w:eastAsia="標楷體" w:hAnsi="標楷體" w:hint="eastAsia"/>
                <w:color w:val="0000FF"/>
              </w:rPr>
              <w:t>依107年5月15日版CNS 13295，高壓混凝土地磚試驗所對應之項目為</w:t>
            </w:r>
            <w:r w:rsidRPr="00A312A1">
              <w:rPr>
                <w:rFonts w:ascii="標楷體" w:eastAsia="標楷體" w:hAnsi="標楷體" w:hint="eastAsia"/>
                <w:color w:val="0000FF"/>
              </w:rPr>
              <w:t>6.1外觀檢查、6.2尺度及許可</w:t>
            </w:r>
            <w:r w:rsidRPr="00A312A1">
              <w:rPr>
                <w:rFonts w:ascii="標楷體" w:eastAsia="標楷體" w:hAnsi="標楷體" w:hint="eastAsia"/>
                <w:color w:val="0000FF"/>
              </w:rPr>
              <w:lastRenderedPageBreak/>
              <w:t>差量測、6.3抗壓強度試驗3項</w:t>
            </w:r>
            <w:r w:rsidRPr="00976BDE">
              <w:rPr>
                <w:rFonts w:ascii="標楷體" w:eastAsia="標楷體" w:hAnsi="標楷體" w:hint="eastAsia"/>
                <w:color w:val="0000FF"/>
              </w:rPr>
              <w:t>，爰予修正。</w:t>
            </w:r>
          </w:p>
          <w:p w:rsidR="003C152B" w:rsidRDefault="003C152B" w:rsidP="009115AC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numPr>
                <w:ilvl w:val="0"/>
                <w:numId w:val="48"/>
              </w:numPr>
              <w:ind w:left="317" w:hanging="317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第3.1.1點序文，依本會108年4月30日修正之「</w:t>
            </w:r>
            <w:r w:rsidRPr="009115AC">
              <w:rPr>
                <w:rFonts w:ascii="標楷體" w:eastAsia="標楷體" w:hAnsi="標楷體" w:hint="eastAsia"/>
                <w:color w:val="0000FF"/>
              </w:rPr>
              <w:t>公共工程施工品質管理作業要點</w:t>
            </w:r>
            <w:r>
              <w:rPr>
                <w:rFonts w:ascii="標楷體" w:eastAsia="標楷體" w:hAnsi="標楷體" w:hint="eastAsia"/>
                <w:color w:val="0000FF"/>
              </w:rPr>
              <w:t>」第3點修正文字。</w:t>
            </w:r>
          </w:p>
          <w:p w:rsidR="003C152B" w:rsidRDefault="003C152B" w:rsidP="00A860FD">
            <w:pPr>
              <w:numPr>
                <w:ilvl w:val="0"/>
                <w:numId w:val="48"/>
              </w:numPr>
              <w:ind w:left="317" w:hanging="317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第3.1.1點之(1)及(2)，酌修文字以資明確。</w:t>
            </w:r>
          </w:p>
          <w:p w:rsidR="003C152B" w:rsidRDefault="003C152B" w:rsidP="009115AC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9115AC">
            <w:pPr>
              <w:numPr>
                <w:ilvl w:val="0"/>
                <w:numId w:val="48"/>
              </w:numPr>
              <w:ind w:left="317" w:hanging="317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第3.1.2點至第3.1.4點，依本會108年4月30日修正之「</w:t>
            </w:r>
            <w:r w:rsidRPr="009115AC">
              <w:rPr>
                <w:rFonts w:ascii="標楷體" w:eastAsia="標楷體" w:hAnsi="標楷體" w:hint="eastAsia"/>
                <w:color w:val="0000FF"/>
              </w:rPr>
              <w:t>公共工程施工品質管理作業要點</w:t>
            </w:r>
            <w:r>
              <w:rPr>
                <w:rFonts w:ascii="標楷體" w:eastAsia="標楷體" w:hAnsi="標楷體" w:hint="eastAsia"/>
                <w:color w:val="0000FF"/>
              </w:rPr>
              <w:t>」第3點修正。另修正金額數字之表示方式。</w:t>
            </w:r>
          </w:p>
          <w:p w:rsidR="003C152B" w:rsidRDefault="003C152B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F2E94" w:rsidRDefault="003F2E94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F2E94" w:rsidRDefault="003F2E94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F2E94" w:rsidRDefault="003F2E94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16759" w:rsidRDefault="00716759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D33D1" w:rsidRDefault="003D33D1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Default="003C152B" w:rsidP="001312BD">
            <w:pPr>
              <w:ind w:left="317"/>
              <w:jc w:val="both"/>
              <w:rPr>
                <w:rFonts w:ascii="標楷體" w:eastAsia="標楷體" w:hAnsi="標楷體"/>
                <w:color w:val="0000FF"/>
              </w:rPr>
            </w:pPr>
          </w:p>
          <w:p w:rsidR="003C152B" w:rsidRPr="00976BDE" w:rsidRDefault="003C152B" w:rsidP="003D33D1">
            <w:pPr>
              <w:numPr>
                <w:ilvl w:val="0"/>
                <w:numId w:val="48"/>
              </w:numPr>
              <w:ind w:left="317" w:hanging="317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第3.2點，依本會108年4月30日修正之「</w:t>
            </w:r>
            <w:r w:rsidRPr="009115AC">
              <w:rPr>
                <w:rFonts w:ascii="標楷體" w:eastAsia="標楷體" w:hAnsi="標楷體" w:hint="eastAsia"/>
                <w:color w:val="0000FF"/>
              </w:rPr>
              <w:t>公共工程施工品質管理作業要點</w:t>
            </w:r>
            <w:r>
              <w:rPr>
                <w:rFonts w:ascii="標楷體" w:eastAsia="標楷體" w:hAnsi="標楷體" w:hint="eastAsia"/>
                <w:color w:val="0000FF"/>
              </w:rPr>
              <w:t>」第4點修正。</w:t>
            </w:r>
          </w:p>
        </w:tc>
      </w:tr>
    </w:tbl>
    <w:p w:rsidR="00832E2B" w:rsidRPr="007F2441" w:rsidRDefault="00832E2B" w:rsidP="00773F56">
      <w:pPr>
        <w:rPr>
          <w:rFonts w:ascii="標楷體" w:eastAsia="標楷體" w:hAnsi="標楷體"/>
        </w:rPr>
      </w:pPr>
    </w:p>
    <w:sectPr w:rsidR="00832E2B" w:rsidRPr="007F2441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D9" w:rsidRDefault="00C955D9">
      <w:r>
        <w:separator/>
      </w:r>
    </w:p>
  </w:endnote>
  <w:endnote w:type="continuationSeparator" w:id="1">
    <w:p w:rsidR="00C955D9" w:rsidRDefault="00C95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細明體_HKSCS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BD" w:rsidRPr="00CC2C48" w:rsidRDefault="001312BD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536325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536325" w:rsidRPr="00CC2C48">
      <w:rPr>
        <w:rStyle w:val="a9"/>
        <w:rFonts w:ascii="標楷體" w:eastAsia="標楷體" w:hAnsi="標楷體"/>
      </w:rPr>
      <w:fldChar w:fldCharType="separate"/>
    </w:r>
    <w:r w:rsidR="00BE0679">
      <w:rPr>
        <w:rStyle w:val="a9"/>
        <w:rFonts w:ascii="標楷體" w:eastAsia="標楷體" w:hAnsi="標楷體"/>
        <w:noProof/>
      </w:rPr>
      <w:t>2</w:t>
    </w:r>
    <w:r w:rsidR="00536325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D9" w:rsidRDefault="00C955D9">
      <w:r>
        <w:separator/>
      </w:r>
    </w:p>
  </w:footnote>
  <w:footnote w:type="continuationSeparator" w:id="1">
    <w:p w:rsidR="00C955D9" w:rsidRDefault="00C95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BD" w:rsidRPr="003E649E" w:rsidRDefault="001312BD" w:rsidP="0086084C">
    <w:pPr>
      <w:pStyle w:val="a7"/>
      <w:wordWrap w:val="0"/>
      <w:ind w:rightChars="15" w:right="36"/>
      <w:jc w:val="right"/>
      <w:rPr>
        <w:rFonts w:ascii="標楷體" w:eastAsia="標楷體" w:hAnsi="標楷體"/>
      </w:rPr>
    </w:pPr>
    <w:r w:rsidRPr="003E649E">
      <w:rPr>
        <w:rFonts w:ascii="標楷體" w:eastAsia="標楷體" w:hAnsi="標楷體" w:hint="eastAsia"/>
      </w:rPr>
      <w:t>10</w:t>
    </w:r>
    <w:r>
      <w:rPr>
        <w:rFonts w:ascii="標楷體" w:eastAsia="標楷體" w:hAnsi="標楷體" w:hint="eastAsia"/>
      </w:rPr>
      <w:t>9</w:t>
    </w:r>
    <w:r w:rsidRPr="003E649E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12</w:t>
    </w:r>
    <w:r w:rsidRPr="003E649E">
      <w:rPr>
        <w:rFonts w:ascii="標楷體" w:eastAsia="標楷體" w:hAnsi="標楷體" w:hint="eastAsia"/>
      </w:rPr>
      <w:t>月</w:t>
    </w:r>
    <w:r w:rsidR="008957EE">
      <w:rPr>
        <w:rFonts w:ascii="標楷體" w:eastAsia="標楷體" w:hAnsi="標楷體" w:hint="eastAsia"/>
      </w:rPr>
      <w:t>25</w:t>
    </w:r>
    <w:r>
      <w:rPr>
        <w:rFonts w:ascii="標楷體" w:eastAsia="標楷體" w:hAnsi="標楷體" w:hint="eastAsia"/>
      </w:rPr>
      <w:t>日修正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67F3E"/>
    <w:multiLevelType w:val="hybridMultilevel"/>
    <w:tmpl w:val="95AC55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4D471A"/>
    <w:multiLevelType w:val="hybridMultilevel"/>
    <w:tmpl w:val="E81E8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E871BB"/>
    <w:multiLevelType w:val="hybridMultilevel"/>
    <w:tmpl w:val="AC6056D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4EC0C2F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052D03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9C4FEE"/>
    <w:multiLevelType w:val="hybridMultilevel"/>
    <w:tmpl w:val="BF384C1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AE5B05"/>
    <w:multiLevelType w:val="hybridMultilevel"/>
    <w:tmpl w:val="C344AE40"/>
    <w:lvl w:ilvl="0" w:tplc="19402F7A">
      <w:start w:val="3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8">
    <w:nsid w:val="0EAF7567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6F198D"/>
    <w:multiLevelType w:val="hybridMultilevel"/>
    <w:tmpl w:val="A79480A4"/>
    <w:lvl w:ilvl="0" w:tplc="CF76759A">
      <w:start w:val="1"/>
      <w:numFmt w:val="taiwaneseCountingThousand"/>
      <w:lvlText w:val="%1、"/>
      <w:lvlJc w:val="left"/>
      <w:pPr>
        <w:tabs>
          <w:tab w:val="num" w:pos="1135"/>
        </w:tabs>
        <w:ind w:left="1135" w:hanging="855"/>
      </w:pPr>
      <w:rPr>
        <w:rFonts w:hint="eastAsia"/>
        <w:color w:val="auto"/>
      </w:rPr>
    </w:lvl>
    <w:lvl w:ilvl="1" w:tplc="0A56D68E">
      <w:start w:val="1"/>
      <w:numFmt w:val="taiwaneseCountingThousand"/>
      <w:lvlText w:val="%2、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9CF607EE">
      <w:start w:val="1"/>
      <w:numFmt w:val="taiwaneseCountingThousand"/>
      <w:lvlText w:val="（%3）"/>
      <w:lvlJc w:val="left"/>
      <w:pPr>
        <w:ind w:left="316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>
    <w:nsid w:val="143A16C8"/>
    <w:multiLevelType w:val="hybridMultilevel"/>
    <w:tmpl w:val="74C6295E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842527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D837217"/>
    <w:multiLevelType w:val="hybridMultilevel"/>
    <w:tmpl w:val="76F2A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E6946AD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69A0EE2"/>
    <w:multiLevelType w:val="hybridMultilevel"/>
    <w:tmpl w:val="5CE405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92D6A1E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C201B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ADA26A3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D6001E5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E60569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41A06F0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6C15528"/>
    <w:multiLevelType w:val="hybridMultilevel"/>
    <w:tmpl w:val="42B8091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9AE753F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0F65AC3"/>
    <w:multiLevelType w:val="hybridMultilevel"/>
    <w:tmpl w:val="626C49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14369AA"/>
    <w:multiLevelType w:val="hybridMultilevel"/>
    <w:tmpl w:val="76F2A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B0463A"/>
    <w:multiLevelType w:val="hybridMultilevel"/>
    <w:tmpl w:val="C08C2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8B225D9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9841713"/>
    <w:multiLevelType w:val="hybridMultilevel"/>
    <w:tmpl w:val="CA48CB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9A2090D"/>
    <w:multiLevelType w:val="hybridMultilevel"/>
    <w:tmpl w:val="F5102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CE03EE"/>
    <w:multiLevelType w:val="hybridMultilevel"/>
    <w:tmpl w:val="04A47F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BEB2CB9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CD30260"/>
    <w:multiLevelType w:val="hybridMultilevel"/>
    <w:tmpl w:val="8AA8F0B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D1030D3"/>
    <w:multiLevelType w:val="hybridMultilevel"/>
    <w:tmpl w:val="84985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4E090780"/>
    <w:multiLevelType w:val="hybridMultilevel"/>
    <w:tmpl w:val="F58E03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4446D01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C102A"/>
    <w:multiLevelType w:val="hybridMultilevel"/>
    <w:tmpl w:val="A162A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74A0BFD"/>
    <w:multiLevelType w:val="hybridMultilevel"/>
    <w:tmpl w:val="2F4840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38">
    <w:nsid w:val="604A469D"/>
    <w:multiLevelType w:val="hybridMultilevel"/>
    <w:tmpl w:val="8676FF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22E39AE"/>
    <w:multiLevelType w:val="hybridMultilevel"/>
    <w:tmpl w:val="39E8F5C2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3603424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6797FCA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8374E3E"/>
    <w:multiLevelType w:val="hybridMultilevel"/>
    <w:tmpl w:val="D9E276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870715E"/>
    <w:multiLevelType w:val="hybridMultilevel"/>
    <w:tmpl w:val="ED5C6B64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AA4575A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AEE027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6F69589D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6FE60B3F"/>
    <w:multiLevelType w:val="hybridMultilevel"/>
    <w:tmpl w:val="60D2ED3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2C77F9F"/>
    <w:multiLevelType w:val="hybridMultilevel"/>
    <w:tmpl w:val="86C014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7B7E593E"/>
    <w:multiLevelType w:val="hybridMultilevel"/>
    <w:tmpl w:val="E48212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7"/>
  </w:num>
  <w:num w:numId="2">
    <w:abstractNumId w:val="0"/>
  </w:num>
  <w:num w:numId="3">
    <w:abstractNumId w:val="49"/>
  </w:num>
  <w:num w:numId="4">
    <w:abstractNumId w:val="48"/>
  </w:num>
  <w:num w:numId="5">
    <w:abstractNumId w:val="14"/>
  </w:num>
  <w:num w:numId="6">
    <w:abstractNumId w:val="23"/>
  </w:num>
  <w:num w:numId="7">
    <w:abstractNumId w:val="42"/>
  </w:num>
  <w:num w:numId="8">
    <w:abstractNumId w:val="36"/>
  </w:num>
  <w:num w:numId="9">
    <w:abstractNumId w:val="29"/>
  </w:num>
  <w:num w:numId="10">
    <w:abstractNumId w:val="27"/>
  </w:num>
  <w:num w:numId="11">
    <w:abstractNumId w:val="2"/>
  </w:num>
  <w:num w:numId="12">
    <w:abstractNumId w:val="1"/>
  </w:num>
  <w:num w:numId="13">
    <w:abstractNumId w:val="35"/>
  </w:num>
  <w:num w:numId="14">
    <w:abstractNumId w:val="41"/>
  </w:num>
  <w:num w:numId="15">
    <w:abstractNumId w:val="5"/>
  </w:num>
  <w:num w:numId="16">
    <w:abstractNumId w:val="13"/>
  </w:num>
  <w:num w:numId="17">
    <w:abstractNumId w:val="19"/>
  </w:num>
  <w:num w:numId="18">
    <w:abstractNumId w:val="47"/>
  </w:num>
  <w:num w:numId="19">
    <w:abstractNumId w:val="22"/>
  </w:num>
  <w:num w:numId="20">
    <w:abstractNumId w:val="31"/>
  </w:num>
  <w:num w:numId="21">
    <w:abstractNumId w:val="34"/>
  </w:num>
  <w:num w:numId="22">
    <w:abstractNumId w:val="10"/>
  </w:num>
  <w:num w:numId="23">
    <w:abstractNumId w:val="16"/>
  </w:num>
  <w:num w:numId="24">
    <w:abstractNumId w:val="11"/>
  </w:num>
  <w:num w:numId="25">
    <w:abstractNumId w:val="7"/>
  </w:num>
  <w:num w:numId="26">
    <w:abstractNumId w:val="17"/>
  </w:num>
  <w:num w:numId="27">
    <w:abstractNumId w:val="9"/>
  </w:num>
  <w:num w:numId="28">
    <w:abstractNumId w:val="6"/>
  </w:num>
  <w:num w:numId="29">
    <w:abstractNumId w:val="39"/>
  </w:num>
  <w:num w:numId="30">
    <w:abstractNumId w:val="26"/>
  </w:num>
  <w:num w:numId="31">
    <w:abstractNumId w:val="20"/>
  </w:num>
  <w:num w:numId="32">
    <w:abstractNumId w:val="45"/>
  </w:num>
  <w:num w:numId="33">
    <w:abstractNumId w:val="30"/>
  </w:num>
  <w:num w:numId="34">
    <w:abstractNumId w:val="3"/>
  </w:num>
  <w:num w:numId="35">
    <w:abstractNumId w:val="40"/>
  </w:num>
  <w:num w:numId="36">
    <w:abstractNumId w:val="43"/>
  </w:num>
  <w:num w:numId="37">
    <w:abstractNumId w:val="21"/>
  </w:num>
  <w:num w:numId="38">
    <w:abstractNumId w:val="33"/>
  </w:num>
  <w:num w:numId="39">
    <w:abstractNumId w:val="25"/>
  </w:num>
  <w:num w:numId="40">
    <w:abstractNumId w:val="4"/>
  </w:num>
  <w:num w:numId="41">
    <w:abstractNumId w:val="28"/>
  </w:num>
  <w:num w:numId="42">
    <w:abstractNumId w:val="38"/>
  </w:num>
  <w:num w:numId="43">
    <w:abstractNumId w:val="12"/>
  </w:num>
  <w:num w:numId="44">
    <w:abstractNumId w:val="24"/>
  </w:num>
  <w:num w:numId="45">
    <w:abstractNumId w:val="44"/>
  </w:num>
  <w:num w:numId="46">
    <w:abstractNumId w:val="15"/>
  </w:num>
  <w:num w:numId="47">
    <w:abstractNumId w:val="32"/>
  </w:num>
  <w:num w:numId="48">
    <w:abstractNumId w:val="46"/>
  </w:num>
  <w:num w:numId="49">
    <w:abstractNumId w:val="8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42A"/>
    <w:rsid w:val="00011969"/>
    <w:rsid w:val="00013A0C"/>
    <w:rsid w:val="00013E86"/>
    <w:rsid w:val="00013F9A"/>
    <w:rsid w:val="00015254"/>
    <w:rsid w:val="00017E5A"/>
    <w:rsid w:val="000201B0"/>
    <w:rsid w:val="00020AFE"/>
    <w:rsid w:val="0002115A"/>
    <w:rsid w:val="000257BA"/>
    <w:rsid w:val="00025F32"/>
    <w:rsid w:val="000260D7"/>
    <w:rsid w:val="00026F7F"/>
    <w:rsid w:val="000300BF"/>
    <w:rsid w:val="000325E5"/>
    <w:rsid w:val="00034D96"/>
    <w:rsid w:val="00034E34"/>
    <w:rsid w:val="00036514"/>
    <w:rsid w:val="0003665A"/>
    <w:rsid w:val="000368F1"/>
    <w:rsid w:val="000369E3"/>
    <w:rsid w:val="00036C33"/>
    <w:rsid w:val="00037838"/>
    <w:rsid w:val="00040089"/>
    <w:rsid w:val="000400A9"/>
    <w:rsid w:val="000402FC"/>
    <w:rsid w:val="000416FD"/>
    <w:rsid w:val="00041923"/>
    <w:rsid w:val="00043098"/>
    <w:rsid w:val="00043689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008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2AEE"/>
    <w:rsid w:val="000B333D"/>
    <w:rsid w:val="000B34AA"/>
    <w:rsid w:val="000B3A24"/>
    <w:rsid w:val="000B3E5B"/>
    <w:rsid w:val="000B44DE"/>
    <w:rsid w:val="000B6633"/>
    <w:rsid w:val="000B7FDC"/>
    <w:rsid w:val="000C160D"/>
    <w:rsid w:val="000C3E23"/>
    <w:rsid w:val="000C3E98"/>
    <w:rsid w:val="000C3ED1"/>
    <w:rsid w:val="000C5863"/>
    <w:rsid w:val="000C5A61"/>
    <w:rsid w:val="000C6A84"/>
    <w:rsid w:val="000D1471"/>
    <w:rsid w:val="000D5A98"/>
    <w:rsid w:val="000D6FF8"/>
    <w:rsid w:val="000D7978"/>
    <w:rsid w:val="000E13EB"/>
    <w:rsid w:val="000E1991"/>
    <w:rsid w:val="000E2A07"/>
    <w:rsid w:val="000E2E03"/>
    <w:rsid w:val="000E442C"/>
    <w:rsid w:val="000E49DD"/>
    <w:rsid w:val="000E5186"/>
    <w:rsid w:val="000E51E0"/>
    <w:rsid w:val="000E644A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D42"/>
    <w:rsid w:val="00100FB7"/>
    <w:rsid w:val="00103519"/>
    <w:rsid w:val="00103782"/>
    <w:rsid w:val="00103BF6"/>
    <w:rsid w:val="001057A6"/>
    <w:rsid w:val="00105994"/>
    <w:rsid w:val="0010781C"/>
    <w:rsid w:val="00107E2A"/>
    <w:rsid w:val="00111795"/>
    <w:rsid w:val="001121BA"/>
    <w:rsid w:val="001136DE"/>
    <w:rsid w:val="00116431"/>
    <w:rsid w:val="001166C4"/>
    <w:rsid w:val="001170F6"/>
    <w:rsid w:val="00117B2F"/>
    <w:rsid w:val="00120852"/>
    <w:rsid w:val="00121C8F"/>
    <w:rsid w:val="00121D38"/>
    <w:rsid w:val="001220F6"/>
    <w:rsid w:val="001228AC"/>
    <w:rsid w:val="001235FD"/>
    <w:rsid w:val="0012360A"/>
    <w:rsid w:val="00124FC6"/>
    <w:rsid w:val="00125708"/>
    <w:rsid w:val="00127ED9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33A6"/>
    <w:rsid w:val="00144039"/>
    <w:rsid w:val="00145086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E64"/>
    <w:rsid w:val="0018335D"/>
    <w:rsid w:val="00183B8D"/>
    <w:rsid w:val="00187A52"/>
    <w:rsid w:val="00187BAD"/>
    <w:rsid w:val="00192795"/>
    <w:rsid w:val="0019348E"/>
    <w:rsid w:val="001934CB"/>
    <w:rsid w:val="0019490B"/>
    <w:rsid w:val="00195D0E"/>
    <w:rsid w:val="001A090C"/>
    <w:rsid w:val="001A1043"/>
    <w:rsid w:val="001A2F00"/>
    <w:rsid w:val="001A3686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4DE1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5E30"/>
    <w:rsid w:val="001E656D"/>
    <w:rsid w:val="001E69AE"/>
    <w:rsid w:val="001E7747"/>
    <w:rsid w:val="001E77F4"/>
    <w:rsid w:val="001F1F00"/>
    <w:rsid w:val="001F29E7"/>
    <w:rsid w:val="001F4647"/>
    <w:rsid w:val="001F4658"/>
    <w:rsid w:val="001F5EF4"/>
    <w:rsid w:val="001F65B3"/>
    <w:rsid w:val="001F6C70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1458"/>
    <w:rsid w:val="00211AF2"/>
    <w:rsid w:val="00211E14"/>
    <w:rsid w:val="0021219A"/>
    <w:rsid w:val="00212618"/>
    <w:rsid w:val="0021284F"/>
    <w:rsid w:val="00213129"/>
    <w:rsid w:val="00215A6C"/>
    <w:rsid w:val="00217A5D"/>
    <w:rsid w:val="00217B6B"/>
    <w:rsid w:val="00217C00"/>
    <w:rsid w:val="00220865"/>
    <w:rsid w:val="00221E0B"/>
    <w:rsid w:val="00222629"/>
    <w:rsid w:val="002227B0"/>
    <w:rsid w:val="00223CD4"/>
    <w:rsid w:val="0022492C"/>
    <w:rsid w:val="00227D69"/>
    <w:rsid w:val="00230F20"/>
    <w:rsid w:val="002317B1"/>
    <w:rsid w:val="00232EFC"/>
    <w:rsid w:val="00233AFC"/>
    <w:rsid w:val="00233E24"/>
    <w:rsid w:val="002349A1"/>
    <w:rsid w:val="00235B61"/>
    <w:rsid w:val="0023687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5279"/>
    <w:rsid w:val="002658A7"/>
    <w:rsid w:val="00266189"/>
    <w:rsid w:val="00267325"/>
    <w:rsid w:val="0026782C"/>
    <w:rsid w:val="00270AB1"/>
    <w:rsid w:val="002712E8"/>
    <w:rsid w:val="0027183B"/>
    <w:rsid w:val="00272285"/>
    <w:rsid w:val="002738F6"/>
    <w:rsid w:val="002760EF"/>
    <w:rsid w:val="00277D57"/>
    <w:rsid w:val="00282178"/>
    <w:rsid w:val="00282D6C"/>
    <w:rsid w:val="00282EBC"/>
    <w:rsid w:val="002834F3"/>
    <w:rsid w:val="00284B52"/>
    <w:rsid w:val="002851B1"/>
    <w:rsid w:val="00285A53"/>
    <w:rsid w:val="0028681C"/>
    <w:rsid w:val="00291001"/>
    <w:rsid w:val="00292527"/>
    <w:rsid w:val="00292701"/>
    <w:rsid w:val="00292C55"/>
    <w:rsid w:val="00294C91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68C7"/>
    <w:rsid w:val="002D0452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488"/>
    <w:rsid w:val="002F393C"/>
    <w:rsid w:val="002F5836"/>
    <w:rsid w:val="002F655C"/>
    <w:rsid w:val="002F67D4"/>
    <w:rsid w:val="002F6F78"/>
    <w:rsid w:val="002F7548"/>
    <w:rsid w:val="002F7C97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F51"/>
    <w:rsid w:val="003830E4"/>
    <w:rsid w:val="0038312A"/>
    <w:rsid w:val="003840A0"/>
    <w:rsid w:val="00384297"/>
    <w:rsid w:val="0038522C"/>
    <w:rsid w:val="00385455"/>
    <w:rsid w:val="0039029A"/>
    <w:rsid w:val="00390516"/>
    <w:rsid w:val="00390603"/>
    <w:rsid w:val="0039184E"/>
    <w:rsid w:val="00391CB0"/>
    <w:rsid w:val="00392561"/>
    <w:rsid w:val="00392637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2714"/>
    <w:rsid w:val="003D33D1"/>
    <w:rsid w:val="003D370F"/>
    <w:rsid w:val="003D4910"/>
    <w:rsid w:val="003D5241"/>
    <w:rsid w:val="003D579D"/>
    <w:rsid w:val="003D5C96"/>
    <w:rsid w:val="003D6B36"/>
    <w:rsid w:val="003E06E8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656E"/>
    <w:rsid w:val="003E7D03"/>
    <w:rsid w:val="003F122A"/>
    <w:rsid w:val="003F176E"/>
    <w:rsid w:val="003F2A3B"/>
    <w:rsid w:val="003F2E94"/>
    <w:rsid w:val="003F37DC"/>
    <w:rsid w:val="003F3DCF"/>
    <w:rsid w:val="003F51FE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C2C"/>
    <w:rsid w:val="00410F23"/>
    <w:rsid w:val="0041176F"/>
    <w:rsid w:val="004132C7"/>
    <w:rsid w:val="00417D93"/>
    <w:rsid w:val="00420CC5"/>
    <w:rsid w:val="0042212E"/>
    <w:rsid w:val="00423FF2"/>
    <w:rsid w:val="00426388"/>
    <w:rsid w:val="00427598"/>
    <w:rsid w:val="0043007A"/>
    <w:rsid w:val="00431230"/>
    <w:rsid w:val="0043162E"/>
    <w:rsid w:val="00432B5B"/>
    <w:rsid w:val="0043312C"/>
    <w:rsid w:val="004402DB"/>
    <w:rsid w:val="00440479"/>
    <w:rsid w:val="00440A5D"/>
    <w:rsid w:val="00442F48"/>
    <w:rsid w:val="00442FCF"/>
    <w:rsid w:val="00443851"/>
    <w:rsid w:val="00444014"/>
    <w:rsid w:val="00444317"/>
    <w:rsid w:val="004449F9"/>
    <w:rsid w:val="004470DC"/>
    <w:rsid w:val="00451111"/>
    <w:rsid w:val="00452343"/>
    <w:rsid w:val="004530AE"/>
    <w:rsid w:val="004534A9"/>
    <w:rsid w:val="0045405E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86B"/>
    <w:rsid w:val="00496CD7"/>
    <w:rsid w:val="004976EA"/>
    <w:rsid w:val="004A0BA7"/>
    <w:rsid w:val="004A2954"/>
    <w:rsid w:val="004A2E26"/>
    <w:rsid w:val="004A445E"/>
    <w:rsid w:val="004A44CB"/>
    <w:rsid w:val="004A454F"/>
    <w:rsid w:val="004A4EA9"/>
    <w:rsid w:val="004A65CA"/>
    <w:rsid w:val="004A7240"/>
    <w:rsid w:val="004A730C"/>
    <w:rsid w:val="004A751E"/>
    <w:rsid w:val="004A7E85"/>
    <w:rsid w:val="004B10FB"/>
    <w:rsid w:val="004B150C"/>
    <w:rsid w:val="004B1A4E"/>
    <w:rsid w:val="004B1CFF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EA6"/>
    <w:rsid w:val="004C0F55"/>
    <w:rsid w:val="004C2C85"/>
    <w:rsid w:val="004C3A19"/>
    <w:rsid w:val="004C4EE9"/>
    <w:rsid w:val="004C7A3B"/>
    <w:rsid w:val="004D1111"/>
    <w:rsid w:val="004D5684"/>
    <w:rsid w:val="004D60EC"/>
    <w:rsid w:val="004E0075"/>
    <w:rsid w:val="004E3C5F"/>
    <w:rsid w:val="004E4751"/>
    <w:rsid w:val="004E4BB6"/>
    <w:rsid w:val="004E5049"/>
    <w:rsid w:val="004E52E0"/>
    <w:rsid w:val="004E636E"/>
    <w:rsid w:val="004E6E22"/>
    <w:rsid w:val="004E71F2"/>
    <w:rsid w:val="004E770B"/>
    <w:rsid w:val="004E7867"/>
    <w:rsid w:val="004F0401"/>
    <w:rsid w:val="004F12E5"/>
    <w:rsid w:val="004F29C6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31EE"/>
    <w:rsid w:val="005241E4"/>
    <w:rsid w:val="005256AF"/>
    <w:rsid w:val="0052577C"/>
    <w:rsid w:val="00526A21"/>
    <w:rsid w:val="0053162D"/>
    <w:rsid w:val="00531F7D"/>
    <w:rsid w:val="00532C54"/>
    <w:rsid w:val="00533410"/>
    <w:rsid w:val="00533E93"/>
    <w:rsid w:val="00536325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3E6E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A00F3"/>
    <w:rsid w:val="005A057D"/>
    <w:rsid w:val="005A116E"/>
    <w:rsid w:val="005A121A"/>
    <w:rsid w:val="005A1230"/>
    <w:rsid w:val="005A1357"/>
    <w:rsid w:val="005A1851"/>
    <w:rsid w:val="005A2E91"/>
    <w:rsid w:val="005A4B6D"/>
    <w:rsid w:val="005A5F95"/>
    <w:rsid w:val="005B0492"/>
    <w:rsid w:val="005B318D"/>
    <w:rsid w:val="005B326B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630"/>
    <w:rsid w:val="005C3971"/>
    <w:rsid w:val="005C3993"/>
    <w:rsid w:val="005C449B"/>
    <w:rsid w:val="005C59D3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7393"/>
    <w:rsid w:val="005E749E"/>
    <w:rsid w:val="005E7B7D"/>
    <w:rsid w:val="005F0565"/>
    <w:rsid w:val="005F196E"/>
    <w:rsid w:val="005F1B55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E0A"/>
    <w:rsid w:val="00637F86"/>
    <w:rsid w:val="006400F4"/>
    <w:rsid w:val="00640AA6"/>
    <w:rsid w:val="00642588"/>
    <w:rsid w:val="00643276"/>
    <w:rsid w:val="00643971"/>
    <w:rsid w:val="006439D3"/>
    <w:rsid w:val="006439DD"/>
    <w:rsid w:val="006449EE"/>
    <w:rsid w:val="006457A2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DD4"/>
    <w:rsid w:val="00680EC7"/>
    <w:rsid w:val="0068149D"/>
    <w:rsid w:val="0068283C"/>
    <w:rsid w:val="00682D9F"/>
    <w:rsid w:val="00684597"/>
    <w:rsid w:val="0068577C"/>
    <w:rsid w:val="0069099B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C27"/>
    <w:rsid w:val="006B62A6"/>
    <w:rsid w:val="006C00E1"/>
    <w:rsid w:val="006C03B3"/>
    <w:rsid w:val="006C1295"/>
    <w:rsid w:val="006C21B6"/>
    <w:rsid w:val="006C22C4"/>
    <w:rsid w:val="006C3A11"/>
    <w:rsid w:val="006C496D"/>
    <w:rsid w:val="006C4F01"/>
    <w:rsid w:val="006C5C76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DBF"/>
    <w:rsid w:val="006D788D"/>
    <w:rsid w:val="006D7BCD"/>
    <w:rsid w:val="006D7D01"/>
    <w:rsid w:val="006E0BCD"/>
    <w:rsid w:val="006E24A4"/>
    <w:rsid w:val="006E25A6"/>
    <w:rsid w:val="006E3904"/>
    <w:rsid w:val="006E4B76"/>
    <w:rsid w:val="006E5906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79F3"/>
    <w:rsid w:val="00730BCA"/>
    <w:rsid w:val="00730C29"/>
    <w:rsid w:val="00731059"/>
    <w:rsid w:val="007316E1"/>
    <w:rsid w:val="00733ED6"/>
    <w:rsid w:val="007340D8"/>
    <w:rsid w:val="0073647C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AE1"/>
    <w:rsid w:val="007619CB"/>
    <w:rsid w:val="00761EA9"/>
    <w:rsid w:val="00763137"/>
    <w:rsid w:val="007631B9"/>
    <w:rsid w:val="00763DD2"/>
    <w:rsid w:val="00764E00"/>
    <w:rsid w:val="00764EEF"/>
    <w:rsid w:val="00766C10"/>
    <w:rsid w:val="00767F3F"/>
    <w:rsid w:val="00771908"/>
    <w:rsid w:val="00773F56"/>
    <w:rsid w:val="007743F2"/>
    <w:rsid w:val="00774930"/>
    <w:rsid w:val="00774E91"/>
    <w:rsid w:val="007771E2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B0827"/>
    <w:rsid w:val="007B093B"/>
    <w:rsid w:val="007B204C"/>
    <w:rsid w:val="007B251F"/>
    <w:rsid w:val="007B2D67"/>
    <w:rsid w:val="007B35F3"/>
    <w:rsid w:val="007B5B1D"/>
    <w:rsid w:val="007B755A"/>
    <w:rsid w:val="007B7B1D"/>
    <w:rsid w:val="007C0840"/>
    <w:rsid w:val="007C34A7"/>
    <w:rsid w:val="007C3CB5"/>
    <w:rsid w:val="007C4805"/>
    <w:rsid w:val="007C57A8"/>
    <w:rsid w:val="007C68B9"/>
    <w:rsid w:val="007C7913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F27"/>
    <w:rsid w:val="007D718F"/>
    <w:rsid w:val="007D72C2"/>
    <w:rsid w:val="007D7908"/>
    <w:rsid w:val="007E052E"/>
    <w:rsid w:val="007E177B"/>
    <w:rsid w:val="007E4710"/>
    <w:rsid w:val="007E57CB"/>
    <w:rsid w:val="007E6A02"/>
    <w:rsid w:val="007E72AF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80053B"/>
    <w:rsid w:val="00800B2F"/>
    <w:rsid w:val="00801F24"/>
    <w:rsid w:val="0080251B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20496"/>
    <w:rsid w:val="00820EFD"/>
    <w:rsid w:val="0082146B"/>
    <w:rsid w:val="00821D9B"/>
    <w:rsid w:val="008238D6"/>
    <w:rsid w:val="0082489B"/>
    <w:rsid w:val="0082492C"/>
    <w:rsid w:val="00825F19"/>
    <w:rsid w:val="0083074C"/>
    <w:rsid w:val="00830FB9"/>
    <w:rsid w:val="00832E2B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2EB9"/>
    <w:rsid w:val="0084341D"/>
    <w:rsid w:val="00843CB5"/>
    <w:rsid w:val="00844E5D"/>
    <w:rsid w:val="00845FE4"/>
    <w:rsid w:val="00847460"/>
    <w:rsid w:val="008476C9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2358"/>
    <w:rsid w:val="00882EE1"/>
    <w:rsid w:val="00883D66"/>
    <w:rsid w:val="00885768"/>
    <w:rsid w:val="00885B0A"/>
    <w:rsid w:val="00886947"/>
    <w:rsid w:val="00886F72"/>
    <w:rsid w:val="0088742A"/>
    <w:rsid w:val="00887C33"/>
    <w:rsid w:val="00887CB9"/>
    <w:rsid w:val="00887D86"/>
    <w:rsid w:val="00890773"/>
    <w:rsid w:val="00891B50"/>
    <w:rsid w:val="00892642"/>
    <w:rsid w:val="00892749"/>
    <w:rsid w:val="00892B41"/>
    <w:rsid w:val="008957EE"/>
    <w:rsid w:val="00897876"/>
    <w:rsid w:val="008A0D43"/>
    <w:rsid w:val="008A198F"/>
    <w:rsid w:val="008A337E"/>
    <w:rsid w:val="008A5628"/>
    <w:rsid w:val="008A699E"/>
    <w:rsid w:val="008A709B"/>
    <w:rsid w:val="008A7121"/>
    <w:rsid w:val="008B0476"/>
    <w:rsid w:val="008B0F2C"/>
    <w:rsid w:val="008B2E81"/>
    <w:rsid w:val="008B40DB"/>
    <w:rsid w:val="008B5893"/>
    <w:rsid w:val="008B65F7"/>
    <w:rsid w:val="008C0B4C"/>
    <w:rsid w:val="008C0F32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F65"/>
    <w:rsid w:val="008D05FD"/>
    <w:rsid w:val="008D16E2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3AF1"/>
    <w:rsid w:val="009042BD"/>
    <w:rsid w:val="0090668F"/>
    <w:rsid w:val="009066E6"/>
    <w:rsid w:val="00907C7B"/>
    <w:rsid w:val="009115AC"/>
    <w:rsid w:val="00912565"/>
    <w:rsid w:val="00912CD8"/>
    <w:rsid w:val="0091322A"/>
    <w:rsid w:val="009133B4"/>
    <w:rsid w:val="009135B2"/>
    <w:rsid w:val="009139DA"/>
    <w:rsid w:val="009155DF"/>
    <w:rsid w:val="00915830"/>
    <w:rsid w:val="00915A3E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CC2"/>
    <w:rsid w:val="0093605F"/>
    <w:rsid w:val="00936ED1"/>
    <w:rsid w:val="00937D3A"/>
    <w:rsid w:val="0094038A"/>
    <w:rsid w:val="00941090"/>
    <w:rsid w:val="009418AE"/>
    <w:rsid w:val="0094240A"/>
    <w:rsid w:val="00944D5A"/>
    <w:rsid w:val="00945897"/>
    <w:rsid w:val="00945ED7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80355"/>
    <w:rsid w:val="009804E7"/>
    <w:rsid w:val="00980BF6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42B1"/>
    <w:rsid w:val="00994B05"/>
    <w:rsid w:val="0099543F"/>
    <w:rsid w:val="0099602F"/>
    <w:rsid w:val="0099647E"/>
    <w:rsid w:val="00997107"/>
    <w:rsid w:val="009A0DA4"/>
    <w:rsid w:val="009A1BD6"/>
    <w:rsid w:val="009A3182"/>
    <w:rsid w:val="009A4D55"/>
    <w:rsid w:val="009A50A8"/>
    <w:rsid w:val="009A5318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505"/>
    <w:rsid w:val="009B65C7"/>
    <w:rsid w:val="009B67F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19F2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162D"/>
    <w:rsid w:val="00A01859"/>
    <w:rsid w:val="00A020FD"/>
    <w:rsid w:val="00A02109"/>
    <w:rsid w:val="00A0473C"/>
    <w:rsid w:val="00A05A1B"/>
    <w:rsid w:val="00A068DE"/>
    <w:rsid w:val="00A07222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1EB"/>
    <w:rsid w:val="00A308B0"/>
    <w:rsid w:val="00A30AEE"/>
    <w:rsid w:val="00A30BF9"/>
    <w:rsid w:val="00A312A1"/>
    <w:rsid w:val="00A32A4A"/>
    <w:rsid w:val="00A32C01"/>
    <w:rsid w:val="00A337E5"/>
    <w:rsid w:val="00A33FB7"/>
    <w:rsid w:val="00A34363"/>
    <w:rsid w:val="00A347B7"/>
    <w:rsid w:val="00A34D40"/>
    <w:rsid w:val="00A3642A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9E4"/>
    <w:rsid w:val="00A57DE9"/>
    <w:rsid w:val="00A60626"/>
    <w:rsid w:val="00A6192B"/>
    <w:rsid w:val="00A61988"/>
    <w:rsid w:val="00A61DDF"/>
    <w:rsid w:val="00A63F2A"/>
    <w:rsid w:val="00A6456F"/>
    <w:rsid w:val="00A64F2F"/>
    <w:rsid w:val="00A65AEA"/>
    <w:rsid w:val="00A673F5"/>
    <w:rsid w:val="00A67DBB"/>
    <w:rsid w:val="00A67E16"/>
    <w:rsid w:val="00A7043A"/>
    <w:rsid w:val="00A70AC9"/>
    <w:rsid w:val="00A70D66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41FF"/>
    <w:rsid w:val="00A84662"/>
    <w:rsid w:val="00A85DDE"/>
    <w:rsid w:val="00A860FD"/>
    <w:rsid w:val="00A872B6"/>
    <w:rsid w:val="00A87A40"/>
    <w:rsid w:val="00A87B9A"/>
    <w:rsid w:val="00A87DFF"/>
    <w:rsid w:val="00A90624"/>
    <w:rsid w:val="00A90819"/>
    <w:rsid w:val="00A91501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7115"/>
    <w:rsid w:val="00AA7580"/>
    <w:rsid w:val="00AA7C2E"/>
    <w:rsid w:val="00AA7CD3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06BB"/>
    <w:rsid w:val="00AC0C80"/>
    <w:rsid w:val="00AC21F3"/>
    <w:rsid w:val="00AC350F"/>
    <w:rsid w:val="00AC47DB"/>
    <w:rsid w:val="00AC5844"/>
    <w:rsid w:val="00AC5BF9"/>
    <w:rsid w:val="00AC7FF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312E"/>
    <w:rsid w:val="00B13DB9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10B"/>
    <w:rsid w:val="00B33C48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5053D"/>
    <w:rsid w:val="00B53D49"/>
    <w:rsid w:val="00B548F5"/>
    <w:rsid w:val="00B55EAB"/>
    <w:rsid w:val="00B56F5E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15CF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E43"/>
    <w:rsid w:val="00BC6FEC"/>
    <w:rsid w:val="00BC743C"/>
    <w:rsid w:val="00BD0B10"/>
    <w:rsid w:val="00BD0D44"/>
    <w:rsid w:val="00BD1528"/>
    <w:rsid w:val="00BD2F36"/>
    <w:rsid w:val="00BD4953"/>
    <w:rsid w:val="00BD59CD"/>
    <w:rsid w:val="00BD737A"/>
    <w:rsid w:val="00BE0679"/>
    <w:rsid w:val="00BE24BD"/>
    <w:rsid w:val="00BE3009"/>
    <w:rsid w:val="00BE5401"/>
    <w:rsid w:val="00BE6AF0"/>
    <w:rsid w:val="00BF0937"/>
    <w:rsid w:val="00BF11B1"/>
    <w:rsid w:val="00BF2E81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7FE0"/>
    <w:rsid w:val="00C11D25"/>
    <w:rsid w:val="00C11EFF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424D"/>
    <w:rsid w:val="00C255CD"/>
    <w:rsid w:val="00C2678E"/>
    <w:rsid w:val="00C309B6"/>
    <w:rsid w:val="00C31269"/>
    <w:rsid w:val="00C31C7C"/>
    <w:rsid w:val="00C329E6"/>
    <w:rsid w:val="00C3383B"/>
    <w:rsid w:val="00C35AC2"/>
    <w:rsid w:val="00C4124A"/>
    <w:rsid w:val="00C41262"/>
    <w:rsid w:val="00C420B9"/>
    <w:rsid w:val="00C437CD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3D86"/>
    <w:rsid w:val="00C64009"/>
    <w:rsid w:val="00C64D41"/>
    <w:rsid w:val="00C65267"/>
    <w:rsid w:val="00C653FE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5BC8"/>
    <w:rsid w:val="00C8693B"/>
    <w:rsid w:val="00C90270"/>
    <w:rsid w:val="00C93F7C"/>
    <w:rsid w:val="00C9474C"/>
    <w:rsid w:val="00C955D9"/>
    <w:rsid w:val="00C9601A"/>
    <w:rsid w:val="00C9656D"/>
    <w:rsid w:val="00C97825"/>
    <w:rsid w:val="00CA08DA"/>
    <w:rsid w:val="00CA12CD"/>
    <w:rsid w:val="00CA2F45"/>
    <w:rsid w:val="00CA3200"/>
    <w:rsid w:val="00CA335F"/>
    <w:rsid w:val="00CA33C2"/>
    <w:rsid w:val="00CA3936"/>
    <w:rsid w:val="00CA5967"/>
    <w:rsid w:val="00CA6A7E"/>
    <w:rsid w:val="00CA7012"/>
    <w:rsid w:val="00CA7DEC"/>
    <w:rsid w:val="00CA7F09"/>
    <w:rsid w:val="00CB1ADC"/>
    <w:rsid w:val="00CB2F24"/>
    <w:rsid w:val="00CB3614"/>
    <w:rsid w:val="00CB3E1C"/>
    <w:rsid w:val="00CB4266"/>
    <w:rsid w:val="00CB6B32"/>
    <w:rsid w:val="00CB6CB2"/>
    <w:rsid w:val="00CB6D06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6715"/>
    <w:rsid w:val="00CD68EE"/>
    <w:rsid w:val="00CD6A92"/>
    <w:rsid w:val="00CD7C7F"/>
    <w:rsid w:val="00CE5658"/>
    <w:rsid w:val="00CE6965"/>
    <w:rsid w:val="00CE6B9C"/>
    <w:rsid w:val="00CE6DCA"/>
    <w:rsid w:val="00CE796B"/>
    <w:rsid w:val="00CF0AF0"/>
    <w:rsid w:val="00CF0C55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DAC"/>
    <w:rsid w:val="00D0005B"/>
    <w:rsid w:val="00D015FA"/>
    <w:rsid w:val="00D02AAC"/>
    <w:rsid w:val="00D0458D"/>
    <w:rsid w:val="00D05982"/>
    <w:rsid w:val="00D05E85"/>
    <w:rsid w:val="00D0671F"/>
    <w:rsid w:val="00D1005A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42B"/>
    <w:rsid w:val="00D372C1"/>
    <w:rsid w:val="00D37F0B"/>
    <w:rsid w:val="00D4310A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3085"/>
    <w:rsid w:val="00D53F06"/>
    <w:rsid w:val="00D53FE6"/>
    <w:rsid w:val="00D54CD5"/>
    <w:rsid w:val="00D5686B"/>
    <w:rsid w:val="00D57844"/>
    <w:rsid w:val="00D62017"/>
    <w:rsid w:val="00D62076"/>
    <w:rsid w:val="00D64001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5841"/>
    <w:rsid w:val="00D75F67"/>
    <w:rsid w:val="00D761BF"/>
    <w:rsid w:val="00D761C6"/>
    <w:rsid w:val="00D77880"/>
    <w:rsid w:val="00D81C1C"/>
    <w:rsid w:val="00D82FD8"/>
    <w:rsid w:val="00D8368C"/>
    <w:rsid w:val="00D840C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91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454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4380"/>
    <w:rsid w:val="00E05DED"/>
    <w:rsid w:val="00E062EB"/>
    <w:rsid w:val="00E0637C"/>
    <w:rsid w:val="00E065E1"/>
    <w:rsid w:val="00E11418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2CEE"/>
    <w:rsid w:val="00E43452"/>
    <w:rsid w:val="00E45C71"/>
    <w:rsid w:val="00E45DF5"/>
    <w:rsid w:val="00E45EEC"/>
    <w:rsid w:val="00E45FE3"/>
    <w:rsid w:val="00E50D45"/>
    <w:rsid w:val="00E51478"/>
    <w:rsid w:val="00E53014"/>
    <w:rsid w:val="00E5305B"/>
    <w:rsid w:val="00E53619"/>
    <w:rsid w:val="00E53FA8"/>
    <w:rsid w:val="00E5529A"/>
    <w:rsid w:val="00E56936"/>
    <w:rsid w:val="00E569AE"/>
    <w:rsid w:val="00E57366"/>
    <w:rsid w:val="00E57AE7"/>
    <w:rsid w:val="00E61D65"/>
    <w:rsid w:val="00E62265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82639"/>
    <w:rsid w:val="00E82DED"/>
    <w:rsid w:val="00E832BF"/>
    <w:rsid w:val="00E84560"/>
    <w:rsid w:val="00E84F57"/>
    <w:rsid w:val="00E86CBA"/>
    <w:rsid w:val="00E870CB"/>
    <w:rsid w:val="00E87117"/>
    <w:rsid w:val="00E87999"/>
    <w:rsid w:val="00E90C75"/>
    <w:rsid w:val="00E91906"/>
    <w:rsid w:val="00E929D0"/>
    <w:rsid w:val="00E93A0D"/>
    <w:rsid w:val="00E9452E"/>
    <w:rsid w:val="00E94BFC"/>
    <w:rsid w:val="00E95E37"/>
    <w:rsid w:val="00E96AB1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4047"/>
    <w:rsid w:val="00EA52FC"/>
    <w:rsid w:val="00EA683A"/>
    <w:rsid w:val="00EA732B"/>
    <w:rsid w:val="00EB06FD"/>
    <w:rsid w:val="00EB0B4A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A00"/>
    <w:rsid w:val="00ED053D"/>
    <w:rsid w:val="00ED20A7"/>
    <w:rsid w:val="00ED301F"/>
    <w:rsid w:val="00ED4240"/>
    <w:rsid w:val="00ED4532"/>
    <w:rsid w:val="00ED491A"/>
    <w:rsid w:val="00ED7BF9"/>
    <w:rsid w:val="00EE12A6"/>
    <w:rsid w:val="00EE13F3"/>
    <w:rsid w:val="00EE2182"/>
    <w:rsid w:val="00EE4112"/>
    <w:rsid w:val="00EE53EA"/>
    <w:rsid w:val="00EE61D0"/>
    <w:rsid w:val="00EE735C"/>
    <w:rsid w:val="00EF0665"/>
    <w:rsid w:val="00EF3B1B"/>
    <w:rsid w:val="00EF4A12"/>
    <w:rsid w:val="00EF5393"/>
    <w:rsid w:val="00EF5DC3"/>
    <w:rsid w:val="00EF7F63"/>
    <w:rsid w:val="00EF7F78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6382"/>
    <w:rsid w:val="00F177A7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6A7B"/>
    <w:rsid w:val="00F6094A"/>
    <w:rsid w:val="00F62E32"/>
    <w:rsid w:val="00F62F58"/>
    <w:rsid w:val="00F636A3"/>
    <w:rsid w:val="00F645D8"/>
    <w:rsid w:val="00F65B64"/>
    <w:rsid w:val="00F666A9"/>
    <w:rsid w:val="00F67E01"/>
    <w:rsid w:val="00F7016D"/>
    <w:rsid w:val="00F71322"/>
    <w:rsid w:val="00F71D8C"/>
    <w:rsid w:val="00F734D6"/>
    <w:rsid w:val="00F7553C"/>
    <w:rsid w:val="00F75D3A"/>
    <w:rsid w:val="00F77111"/>
    <w:rsid w:val="00F82A5A"/>
    <w:rsid w:val="00F837F3"/>
    <w:rsid w:val="00F8421B"/>
    <w:rsid w:val="00F84ED6"/>
    <w:rsid w:val="00F87E8A"/>
    <w:rsid w:val="00F87E99"/>
    <w:rsid w:val="00F90883"/>
    <w:rsid w:val="00F90FAD"/>
    <w:rsid w:val="00F933DB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B1D"/>
    <w:rsid w:val="00FC6ED2"/>
    <w:rsid w:val="00FC7BCA"/>
    <w:rsid w:val="00FC7D88"/>
    <w:rsid w:val="00FD03B5"/>
    <w:rsid w:val="00FD1B0E"/>
    <w:rsid w:val="00FD1C96"/>
    <w:rsid w:val="00FD2C67"/>
    <w:rsid w:val="00FD3425"/>
    <w:rsid w:val="00FD3808"/>
    <w:rsid w:val="00FD4E5C"/>
    <w:rsid w:val="00FD61D5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7024-89CE-4661-A26E-62DDDA66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731</Words>
  <Characters>4169</Characters>
  <Application>Microsoft Office Word</Application>
  <DocSecurity>0</DocSecurity>
  <Lines>34</Lines>
  <Paragraphs>9</Paragraphs>
  <ScaleCrop>false</ScaleCrop>
  <Company>PCC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1302</cp:lastModifiedBy>
  <cp:revision>5</cp:revision>
  <cp:lastPrinted>2019-07-18T07:23:00Z</cp:lastPrinted>
  <dcterms:created xsi:type="dcterms:W3CDTF">2020-12-25T03:26:00Z</dcterms:created>
  <dcterms:modified xsi:type="dcterms:W3CDTF">2020-12-25T05:49:00Z</dcterms:modified>
</cp:coreProperties>
</file>