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61" w:rsidRDefault="006546AD">
      <w:pPr>
        <w:pStyle w:val="Standard"/>
        <w:spacing w:after="180" w:line="440" w:lineRule="exact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「</w:t>
      </w:r>
      <w:r>
        <w:rPr>
          <w:rFonts w:eastAsia="標楷體" w:cs="標楷體"/>
          <w:b/>
          <w:bCs/>
          <w:color w:val="000000"/>
          <w:sz w:val="32"/>
          <w:szCs w:val="32"/>
        </w:rPr>
        <w:t>災害搶險搶修開口契約範本</w:t>
      </w:r>
      <w:r>
        <w:rPr>
          <w:rFonts w:ascii="標楷體" w:eastAsia="標楷體" w:hAnsi="標楷體" w:cs="標楷體"/>
          <w:b/>
          <w:sz w:val="28"/>
          <w:szCs w:val="28"/>
        </w:rPr>
        <w:t>」修正條文對照表</w:t>
      </w:r>
    </w:p>
    <w:tbl>
      <w:tblPr>
        <w:tblW w:w="1476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57"/>
        <w:gridCol w:w="5458"/>
        <w:gridCol w:w="3845"/>
      </w:tblGrid>
      <w:tr w:rsidR="00E63A61" w:rsidTr="00E63A61">
        <w:tblPrEx>
          <w:tblCellMar>
            <w:top w:w="0" w:type="dxa"/>
            <w:bottom w:w="0" w:type="dxa"/>
          </w:tblCellMar>
        </w:tblPrEx>
        <w:trPr>
          <w:trHeight w:val="524"/>
          <w:tblHeader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A61" w:rsidRDefault="006546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修正內容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A61" w:rsidRDefault="006546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現行內容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A61" w:rsidRDefault="006546AD">
            <w:pPr>
              <w:pStyle w:val="Standard"/>
              <w:overflowPunct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E63A61" w:rsidTr="00E63A61">
        <w:tblPrEx>
          <w:tblCellMar>
            <w:top w:w="0" w:type="dxa"/>
            <w:bottom w:w="0" w:type="dxa"/>
          </w:tblCellMar>
        </w:tblPrEx>
        <w:tc>
          <w:tcPr>
            <w:tcW w:w="5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A61" w:rsidRDefault="006546A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附錄</w:t>
            </w:r>
            <w:r>
              <w:rPr>
                <w:rFonts w:ascii="標楷體" w:eastAsia="標楷體" w:hAnsi="標楷體" w:cs="標楷體"/>
                <w:b/>
              </w:rPr>
              <w:t>2</w:t>
            </w:r>
            <w:r>
              <w:rPr>
                <w:rFonts w:ascii="標楷體" w:eastAsia="標楷體" w:hAnsi="標楷體" w:cs="標楷體"/>
                <w:b/>
              </w:rPr>
              <w:t>、工地管理</w:t>
            </w:r>
          </w:p>
          <w:p w:rsidR="00E63A61" w:rsidRDefault="006546AD">
            <w:pPr>
              <w:pStyle w:val="-1"/>
              <w:rPr>
                <w:rFonts w:cs="標楷體"/>
              </w:rPr>
            </w:pPr>
            <w:r>
              <w:rPr>
                <w:rFonts w:cs="標楷體"/>
              </w:rPr>
              <w:t>……</w:t>
            </w:r>
          </w:p>
          <w:p w:rsidR="00E63A61" w:rsidRDefault="006546AD">
            <w:pPr>
              <w:pStyle w:val="-1"/>
            </w:pPr>
            <w:r>
              <w:t xml:space="preserve">2 </w:t>
            </w:r>
            <w:r>
              <w:t>人員及機具管制</w:t>
            </w:r>
          </w:p>
          <w:p w:rsidR="00E63A61" w:rsidRDefault="006546AD">
            <w:pPr>
              <w:pStyle w:val="-11"/>
            </w:pPr>
            <w:r>
              <w:t xml:space="preserve">2.1 </w:t>
            </w:r>
            <w:r>
              <w:t>工作場所人員及車輛機械出入口處應設管制人員，嚴禁以下人員及機具進入工地：</w:t>
            </w:r>
          </w:p>
          <w:p w:rsidR="00E63A61" w:rsidRDefault="006546AD">
            <w:pPr>
              <w:pStyle w:val="-111"/>
            </w:pPr>
            <w:r>
              <w:t xml:space="preserve">2.1.1 </w:t>
            </w:r>
            <w:r>
              <w:t>非法外籍勞工。</w:t>
            </w:r>
          </w:p>
          <w:p w:rsidR="00E63A61" w:rsidRDefault="006546AD">
            <w:pPr>
              <w:pStyle w:val="-111"/>
            </w:pPr>
            <w:r>
              <w:t xml:space="preserve">2.1.2 </w:t>
            </w:r>
            <w:r>
              <w:t>未投保勞工保險、勞工職業災害保險之勞工（應依第</w:t>
            </w:r>
            <w:r>
              <w:t>2.2</w:t>
            </w:r>
            <w:r>
              <w:t>點辦理報備）。</w:t>
            </w:r>
          </w:p>
          <w:p w:rsidR="00E63A61" w:rsidRDefault="006546AD">
            <w:pPr>
              <w:pStyle w:val="-111"/>
            </w:pPr>
            <w:r>
              <w:t xml:space="preserve">2.1.3 </w:t>
            </w:r>
            <w:r>
              <w:t>未具合格證之移動式起重機、車輛機械及操作人員。</w:t>
            </w:r>
          </w:p>
          <w:p w:rsidR="00E63A61" w:rsidRDefault="006546AD">
            <w:pPr>
              <w:pStyle w:val="-111"/>
            </w:pPr>
            <w:r>
              <w:t>2.1.4</w:t>
            </w:r>
            <w:r>
              <w:t xml:space="preserve"> </w:t>
            </w:r>
            <w:r>
              <w:t>未依第</w:t>
            </w:r>
            <w:r>
              <w:t>2.4</w:t>
            </w:r>
            <w:r>
              <w:t>點登記之人員（第</w:t>
            </w:r>
            <w:r>
              <w:t>2.4</w:t>
            </w:r>
            <w:r>
              <w:t>點未勾選者，本點不適用）。</w:t>
            </w:r>
          </w:p>
          <w:p w:rsidR="00E63A61" w:rsidRDefault="006546AD">
            <w:pPr>
              <w:pStyle w:val="-111"/>
            </w:pPr>
            <w:r>
              <w:t xml:space="preserve">2.1.5 </w:t>
            </w:r>
            <w:r>
              <w:t>涉關鍵基礎設施</w:t>
            </w:r>
            <w:r>
              <w:t>(</w:t>
            </w:r>
            <w:r>
              <w:t>或機關指定之設施</w:t>
            </w:r>
            <w:r>
              <w:t>)</w:t>
            </w:r>
            <w:r>
              <w:t>，未</w:t>
            </w:r>
            <w:r>
              <w:rPr>
                <w:color w:val="FF0000"/>
                <w:u w:val="single"/>
              </w:rPr>
              <w:t>通過機關要求</w:t>
            </w:r>
            <w:proofErr w:type="gramStart"/>
            <w:r>
              <w:rPr>
                <w:color w:val="FF0000"/>
                <w:u w:val="single"/>
              </w:rPr>
              <w:t>適</w:t>
            </w:r>
            <w:proofErr w:type="gramEnd"/>
            <w:r>
              <w:rPr>
                <w:color w:val="FF0000"/>
                <w:u w:val="single"/>
              </w:rPr>
              <w:t>任性查核</w:t>
            </w:r>
            <w:r>
              <w:t>之人員。</w:t>
            </w:r>
          </w:p>
          <w:p w:rsidR="00E63A61" w:rsidRDefault="006546AD">
            <w:pPr>
              <w:pStyle w:val="-11"/>
            </w:pPr>
            <w:r>
              <w:t xml:space="preserve">2.2 </w:t>
            </w:r>
            <w:r>
              <w:t>工程開工前，廠商向機關報備工作場所人員名單（含分包廠商員工），並提報該等人員之勞工保險、勞工職業災害保險資料（依第</w:t>
            </w:r>
            <w:r>
              <w:t>13</w:t>
            </w:r>
            <w:r>
              <w:t>條第</w:t>
            </w:r>
            <w:r>
              <w:t>10</w:t>
            </w:r>
            <w:r>
              <w:t>款得以其他商業保險代之者，提報該等人員之商業保險資料）及依職業安全衛生法規應完成之安全衛生教育訓練紀錄送機關備查，方可使勞工進場施工；人員異動時，亦同。</w:t>
            </w:r>
          </w:p>
          <w:p w:rsidR="00E63A61" w:rsidRDefault="006546AD">
            <w:pPr>
              <w:pStyle w:val="-11"/>
              <w:rPr>
                <w:rFonts w:cs="標楷體"/>
              </w:rPr>
            </w:pPr>
            <w:r>
              <w:rPr>
                <w:rFonts w:cs="標楷體"/>
              </w:rPr>
              <w:t>……</w:t>
            </w:r>
          </w:p>
          <w:p w:rsidR="00E63A61" w:rsidRDefault="00E63A61">
            <w:pPr>
              <w:pStyle w:val="-11"/>
            </w:pPr>
          </w:p>
          <w:p w:rsidR="00E63A61" w:rsidRDefault="006546AD">
            <w:pPr>
              <w:pStyle w:val="-11"/>
            </w:pPr>
            <w:r>
              <w:t>2.7 □</w:t>
            </w:r>
            <w:r>
              <w:t>關鍵基礎設施</w:t>
            </w:r>
            <w:r>
              <w:t>(</w:t>
            </w:r>
            <w:r>
              <w:t>或機關指定之設施</w:t>
            </w:r>
            <w:r>
              <w:t>)</w:t>
            </w:r>
            <w:r>
              <w:t>人員</w:t>
            </w:r>
            <w:r>
              <w:lastRenderedPageBreak/>
              <w:t>管制特別約定：</w:t>
            </w:r>
          </w:p>
          <w:p w:rsidR="00E63A61" w:rsidRDefault="006546AD">
            <w:pPr>
              <w:pStyle w:val="-111"/>
            </w:pPr>
            <w:r>
              <w:t>2.7.</w:t>
            </w:r>
            <w:r>
              <w:t xml:space="preserve">1 </w:t>
            </w:r>
            <w:r>
              <w:t>本採購履約標的涉關鍵基礎設施</w:t>
            </w:r>
            <w:r>
              <w:t>(</w:t>
            </w:r>
            <w:r>
              <w:t>或機關指定之設施</w:t>
            </w:r>
            <w:r>
              <w:t>)</w:t>
            </w:r>
            <w:r>
              <w:t>，廠商及分包廠商之履約人員於進場或參與工作前，應</w:t>
            </w:r>
            <w:r>
              <w:rPr>
                <w:color w:val="FF0000"/>
                <w:u w:val="single"/>
              </w:rPr>
              <w:t>配合機關之要求辦理</w:t>
            </w:r>
            <w:proofErr w:type="gramStart"/>
            <w:r>
              <w:rPr>
                <w:color w:val="FF0000"/>
                <w:u w:val="single"/>
              </w:rPr>
              <w:t>適</w:t>
            </w:r>
            <w:proofErr w:type="gramEnd"/>
            <w:r>
              <w:rPr>
                <w:color w:val="FF0000"/>
                <w:u w:val="single"/>
              </w:rPr>
              <w:t>任性查核</w:t>
            </w:r>
            <w:r>
              <w:t>經機關審核同意</w:t>
            </w:r>
            <w:r>
              <w:rPr>
                <w:color w:val="FF0000"/>
                <w:u w:val="single"/>
              </w:rPr>
              <w:t>者</w:t>
            </w:r>
            <w:r>
              <w:t>，始得進場或參與工作。屬臨時性進場者（例如送貨或預拌混凝土車司機及其隨車人員）得</w:t>
            </w:r>
            <w:r>
              <w:rPr>
                <w:color w:val="000000"/>
              </w:rPr>
              <w:t>免</w:t>
            </w:r>
            <w:r>
              <w:rPr>
                <w:color w:val="FF0000"/>
                <w:u w:val="single"/>
              </w:rPr>
              <w:t>辦理查核</w:t>
            </w:r>
            <w:r>
              <w:t>，但應接受機關或監造單位人員全程陪同或監督管理。</w:t>
            </w:r>
          </w:p>
          <w:p w:rsidR="00E63A61" w:rsidRDefault="006546AD">
            <w:pPr>
              <w:pStyle w:val="-111"/>
              <w:rPr>
                <w:rFonts w:cs="標楷體"/>
              </w:rPr>
            </w:pPr>
            <w:r>
              <w:rPr>
                <w:rFonts w:cs="標楷體"/>
              </w:rPr>
              <w:t>……</w:t>
            </w:r>
          </w:p>
          <w:p w:rsidR="00E63A61" w:rsidRDefault="00E63A61">
            <w:pPr>
              <w:pStyle w:val="-1"/>
              <w:rPr>
                <w:rFonts w:cs="標楷體"/>
              </w:rPr>
            </w:pPr>
          </w:p>
          <w:p w:rsidR="00E63A61" w:rsidRDefault="00E63A61">
            <w:pPr>
              <w:pStyle w:val="-1"/>
              <w:rPr>
                <w:rFonts w:cs="標楷體"/>
              </w:rPr>
            </w:pPr>
          </w:p>
          <w:p w:rsidR="00E63A61" w:rsidRDefault="00E63A61">
            <w:pPr>
              <w:pStyle w:val="-1"/>
              <w:rPr>
                <w:rFonts w:cs="標楷體"/>
              </w:rPr>
            </w:pPr>
          </w:p>
          <w:p w:rsidR="00E63A61" w:rsidRDefault="00E63A61">
            <w:pPr>
              <w:pStyle w:val="-1"/>
              <w:rPr>
                <w:rFonts w:cs="標楷體"/>
              </w:rPr>
            </w:pPr>
          </w:p>
          <w:p w:rsidR="00E63A61" w:rsidRDefault="00E63A61">
            <w:pPr>
              <w:pStyle w:val="-1"/>
              <w:rPr>
                <w:rFonts w:cs="標楷體"/>
              </w:rPr>
            </w:pPr>
          </w:p>
          <w:p w:rsidR="00E63A61" w:rsidRDefault="00E63A61">
            <w:pPr>
              <w:pStyle w:val="-1"/>
              <w:rPr>
                <w:rFonts w:cs="標楷體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A61" w:rsidRDefault="006546A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附錄</w:t>
            </w:r>
            <w:r>
              <w:rPr>
                <w:rFonts w:ascii="標楷體" w:eastAsia="標楷體" w:hAnsi="標楷體" w:cs="標楷體"/>
                <w:b/>
              </w:rPr>
              <w:t>2</w:t>
            </w:r>
            <w:r>
              <w:rPr>
                <w:rFonts w:ascii="標楷體" w:eastAsia="標楷體" w:hAnsi="標楷體" w:cs="標楷體"/>
                <w:b/>
              </w:rPr>
              <w:t>、工地管理</w:t>
            </w:r>
          </w:p>
          <w:p w:rsidR="00E63A61" w:rsidRDefault="006546AD">
            <w:pPr>
              <w:pStyle w:val="-1"/>
              <w:rPr>
                <w:rFonts w:cs="標楷體"/>
              </w:rPr>
            </w:pPr>
            <w:r>
              <w:rPr>
                <w:rFonts w:cs="標楷體"/>
              </w:rPr>
              <w:t>……</w:t>
            </w:r>
          </w:p>
          <w:p w:rsidR="00E63A61" w:rsidRDefault="006546AD">
            <w:pPr>
              <w:pStyle w:val="-1"/>
            </w:pPr>
            <w:r>
              <w:t xml:space="preserve">2 </w:t>
            </w:r>
            <w:r>
              <w:t>人員及機具管制</w:t>
            </w:r>
          </w:p>
          <w:p w:rsidR="00E63A61" w:rsidRDefault="006546AD">
            <w:pPr>
              <w:pStyle w:val="-11"/>
            </w:pPr>
            <w:r>
              <w:t xml:space="preserve">2.1 </w:t>
            </w:r>
            <w:r>
              <w:t>工作場所人員及車輛機械出入口處應設管制人員，嚴禁以下人員及機具進入工地：</w:t>
            </w:r>
          </w:p>
          <w:p w:rsidR="00E63A61" w:rsidRDefault="006546AD">
            <w:pPr>
              <w:pStyle w:val="-111"/>
            </w:pPr>
            <w:r>
              <w:t xml:space="preserve">2.1.1 </w:t>
            </w:r>
            <w:r>
              <w:t>非法外籍勞工。</w:t>
            </w:r>
          </w:p>
          <w:p w:rsidR="00E63A61" w:rsidRDefault="006546AD">
            <w:pPr>
              <w:pStyle w:val="-111"/>
            </w:pPr>
            <w:r>
              <w:t xml:space="preserve">2.1.2 </w:t>
            </w:r>
            <w:r>
              <w:t>未投保勞工保險、勞工職業災害保險之勞工（應依第</w:t>
            </w:r>
            <w:r>
              <w:t>2.2</w:t>
            </w:r>
            <w:r>
              <w:t>點辦理報備）。</w:t>
            </w:r>
          </w:p>
          <w:p w:rsidR="00E63A61" w:rsidRDefault="006546AD">
            <w:pPr>
              <w:pStyle w:val="-111"/>
            </w:pPr>
            <w:r>
              <w:t xml:space="preserve">2.1.3 </w:t>
            </w:r>
            <w:r>
              <w:t>未具合格證之移動式起重機、車輛機械及操作人員。</w:t>
            </w:r>
          </w:p>
          <w:p w:rsidR="00E63A61" w:rsidRDefault="006546AD">
            <w:pPr>
              <w:pStyle w:val="-111"/>
            </w:pPr>
            <w:r>
              <w:t xml:space="preserve">2.1.4 </w:t>
            </w:r>
            <w:r>
              <w:t>未依第</w:t>
            </w:r>
            <w:r>
              <w:t>2.4</w:t>
            </w:r>
            <w:r>
              <w:t>點登記之人員（第</w:t>
            </w:r>
            <w:r>
              <w:t>2.4</w:t>
            </w:r>
            <w:r>
              <w:t>點未勾選者，本點不適用）。</w:t>
            </w:r>
          </w:p>
          <w:p w:rsidR="00E63A61" w:rsidRDefault="006546AD">
            <w:pPr>
              <w:pStyle w:val="-111"/>
            </w:pPr>
            <w:r>
              <w:t xml:space="preserve">2.1.5 </w:t>
            </w:r>
            <w:r>
              <w:t>涉關鍵基礎設施</w:t>
            </w:r>
            <w:r>
              <w:t>(</w:t>
            </w:r>
            <w:r>
              <w:t>或機關指定之設施</w:t>
            </w:r>
            <w:r>
              <w:t>)</w:t>
            </w:r>
            <w:r>
              <w:t>，未</w:t>
            </w:r>
            <w:r>
              <w:rPr>
                <w:u w:val="single"/>
              </w:rPr>
              <w:t>依第</w:t>
            </w:r>
            <w:r>
              <w:rPr>
                <w:u w:val="single"/>
              </w:rPr>
              <w:t>2.7</w:t>
            </w:r>
            <w:r>
              <w:rPr>
                <w:u w:val="single"/>
              </w:rPr>
              <w:t>點辦理</w:t>
            </w:r>
            <w:r>
              <w:t>之人員。</w:t>
            </w:r>
          </w:p>
          <w:p w:rsidR="00E63A61" w:rsidRDefault="00E63A61">
            <w:pPr>
              <w:pStyle w:val="-11"/>
            </w:pPr>
          </w:p>
          <w:p w:rsidR="00E63A61" w:rsidRDefault="006546AD">
            <w:pPr>
              <w:pStyle w:val="-11"/>
            </w:pPr>
            <w:r>
              <w:t xml:space="preserve">2.2 </w:t>
            </w:r>
            <w:r>
              <w:t>工程開工前，廠商向機關報備工作場所人員名單（含分包廠商員工</w:t>
            </w:r>
            <w:r>
              <w:rPr>
                <w:color w:val="FF0000"/>
                <w:u w:val="single"/>
              </w:rPr>
              <w:t>、第</w:t>
            </w:r>
            <w:r>
              <w:rPr>
                <w:color w:val="FF0000"/>
                <w:u w:val="single"/>
              </w:rPr>
              <w:t>2.7.1</w:t>
            </w:r>
            <w:r>
              <w:rPr>
                <w:color w:val="FF0000"/>
                <w:u w:val="single"/>
              </w:rPr>
              <w:t>點所載之證明</w:t>
            </w:r>
            <w:r>
              <w:t>），並提報該等人員之勞工保險、勞工職業災害保險資料（依第</w:t>
            </w:r>
            <w:r>
              <w:t>13</w:t>
            </w:r>
            <w:r>
              <w:t>條第</w:t>
            </w:r>
            <w:r>
              <w:t>10</w:t>
            </w:r>
            <w:r>
              <w:t>款得以其他商業保險代之者，提報該等人員之商業保險資料）及依職業安全衛生法</w:t>
            </w:r>
            <w:r>
              <w:t>規應完成之安全衛生教育訓練紀錄送機關備查，方可使勞工進場施工；人員異動時，亦同。</w:t>
            </w:r>
          </w:p>
          <w:p w:rsidR="00E63A61" w:rsidRDefault="006546AD">
            <w:pPr>
              <w:pStyle w:val="-11"/>
              <w:rPr>
                <w:rFonts w:cs="標楷體"/>
              </w:rPr>
            </w:pPr>
            <w:r>
              <w:rPr>
                <w:rFonts w:cs="標楷體"/>
              </w:rPr>
              <w:t>……</w:t>
            </w:r>
          </w:p>
          <w:p w:rsidR="00E63A61" w:rsidRDefault="006546AD">
            <w:pPr>
              <w:pStyle w:val="-11"/>
            </w:pPr>
            <w:r>
              <w:t>2.7 □</w:t>
            </w:r>
            <w:r>
              <w:t>關鍵基礎設施</w:t>
            </w:r>
            <w:r>
              <w:t>(</w:t>
            </w:r>
            <w:r>
              <w:t>或機關指定之設施</w:t>
            </w:r>
            <w:r>
              <w:t>)</w:t>
            </w:r>
            <w:r>
              <w:t>人員</w:t>
            </w:r>
            <w:r>
              <w:lastRenderedPageBreak/>
              <w:t>管制特別約定：</w:t>
            </w:r>
          </w:p>
          <w:p w:rsidR="00E63A61" w:rsidRDefault="006546AD">
            <w:pPr>
              <w:pStyle w:val="-111"/>
            </w:pPr>
            <w:r>
              <w:t xml:space="preserve">2.7.1 </w:t>
            </w:r>
            <w:r>
              <w:t>本採購履約標的涉關鍵基礎設施</w:t>
            </w:r>
            <w:r>
              <w:t>(</w:t>
            </w:r>
            <w:r>
              <w:t>或機關指定之設施</w:t>
            </w:r>
            <w:r>
              <w:t>)</w:t>
            </w:r>
            <w:r>
              <w:t>，廠商及分包廠商之履約人員於進場或參與工作前，</w:t>
            </w:r>
            <w:r w:rsidRPr="004D5537">
              <w:t>應</w:t>
            </w:r>
            <w:r>
              <w:rPr>
                <w:u w:val="single"/>
              </w:rPr>
              <w:t>提出</w:t>
            </w:r>
            <w:r>
              <w:rPr>
                <w:u w:val="single"/>
              </w:rPr>
              <w:t>3</w:t>
            </w:r>
            <w:r>
              <w:rPr>
                <w:u w:val="single"/>
              </w:rPr>
              <w:t>個月內核發之「警察刑事紀錄證明」</w:t>
            </w:r>
            <w:proofErr w:type="gramStart"/>
            <w:r>
              <w:rPr>
                <w:u w:val="single"/>
              </w:rPr>
              <w:t>（</w:t>
            </w:r>
            <w:proofErr w:type="gramEnd"/>
            <w:r>
              <w:rPr>
                <w:u w:val="single"/>
              </w:rPr>
              <w:t>外國人應提出該國籍政府核發之類似文件，並經公證或認證。但申請入國簽證時，已備行為良好之證明文件者除外</w:t>
            </w:r>
            <w:proofErr w:type="gramStart"/>
            <w:r>
              <w:rPr>
                <w:u w:val="single"/>
              </w:rPr>
              <w:t>）</w:t>
            </w:r>
            <w:proofErr w:type="gramEnd"/>
            <w:r>
              <w:rPr>
                <w:u w:val="single"/>
              </w:rPr>
              <w:t>，或出具委託書由機關代為申請；其證明內容應記載無犯罪紀錄，</w:t>
            </w:r>
            <w:r>
              <w:rPr>
                <w:color w:val="000000"/>
                <w:u w:val="single"/>
              </w:rPr>
              <w:t>並</w:t>
            </w:r>
            <w:r w:rsidRPr="004D5537">
              <w:t>經機關審核同意</w:t>
            </w:r>
            <w:r>
              <w:t>，始得進場或參與工作。屬臨時性進場者（</w:t>
            </w:r>
            <w:r>
              <w:t>例如送貨或預拌混凝土車司機及其隨車人員）</w:t>
            </w:r>
            <w:proofErr w:type="gramStart"/>
            <w:r>
              <w:t>得免</w:t>
            </w:r>
            <w:r>
              <w:rPr>
                <w:u w:val="single"/>
              </w:rPr>
              <w:t>提送上</w:t>
            </w:r>
            <w:proofErr w:type="gramEnd"/>
            <w:r>
              <w:rPr>
                <w:u w:val="single"/>
              </w:rPr>
              <w:t>開證明文件</w:t>
            </w:r>
            <w:r>
              <w:t>，但應接受機關或監造單位人員全程陪同或監督管理。</w:t>
            </w:r>
          </w:p>
          <w:p w:rsidR="00E63A61" w:rsidRDefault="006546AD">
            <w:pPr>
              <w:pStyle w:val="-111"/>
              <w:rPr>
                <w:rFonts w:cs="標楷體"/>
              </w:rPr>
            </w:pPr>
            <w:r>
              <w:rPr>
                <w:rFonts w:cs="標楷體"/>
              </w:rPr>
              <w:t>……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E63A61">
            <w:pPr>
              <w:pStyle w:val="a6"/>
            </w:pPr>
          </w:p>
          <w:p w:rsidR="00E63A61" w:rsidRDefault="006546AD" w:rsidP="004D5537">
            <w:pPr>
              <w:pStyle w:val="a"/>
              <w:numPr>
                <w:ilvl w:val="0"/>
                <w:numId w:val="3"/>
              </w:numPr>
              <w:ind w:leftChars="-41" w:left="185" w:hangingChars="118" w:hanging="283"/>
            </w:pPr>
            <w:r>
              <w:t>第</w:t>
            </w:r>
            <w:r>
              <w:t>2.1.5</w:t>
            </w:r>
            <w:r>
              <w:t>點，修正載明未通過機關</w:t>
            </w:r>
            <w:proofErr w:type="gramStart"/>
            <w:r>
              <w:t>適</w:t>
            </w:r>
            <w:proofErr w:type="gramEnd"/>
            <w:r>
              <w:t>任性查核之人員，不得進場。</w:t>
            </w:r>
          </w:p>
          <w:p w:rsidR="00E63A61" w:rsidRDefault="006546AD" w:rsidP="004D5537">
            <w:pPr>
              <w:pStyle w:val="a"/>
              <w:numPr>
                <w:ilvl w:val="0"/>
                <w:numId w:val="3"/>
              </w:numPr>
              <w:ind w:leftChars="-41" w:left="185" w:hangingChars="118" w:hanging="283"/>
            </w:pPr>
            <w:r>
              <w:t>第</w:t>
            </w:r>
            <w:r>
              <w:t>2.2</w:t>
            </w:r>
            <w:r>
              <w:t>點，配合第</w:t>
            </w:r>
            <w:r>
              <w:t>2.7.1</w:t>
            </w:r>
            <w:r>
              <w:t>點之修正，刪除部分文字。</w:t>
            </w: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  <w:p w:rsidR="00E63A61" w:rsidRDefault="006546AD" w:rsidP="004D5537">
            <w:pPr>
              <w:pStyle w:val="a"/>
              <w:numPr>
                <w:ilvl w:val="0"/>
                <w:numId w:val="3"/>
              </w:numPr>
              <w:ind w:leftChars="-41" w:left="185" w:hangingChars="118" w:hanging="283"/>
            </w:pPr>
            <w:r>
              <w:lastRenderedPageBreak/>
              <w:t>第</w:t>
            </w:r>
            <w:r>
              <w:t>2.7.1</w:t>
            </w:r>
            <w:r>
              <w:t>點，原條文係消極請廠商人員提供無犯罪紀錄證明，並無法防止無犯罪紀錄者，受有心人士之影響，進行損及關鍵基礎設施之行為。</w:t>
            </w:r>
            <w:proofErr w:type="gramStart"/>
            <w:r>
              <w:t>爰</w:t>
            </w:r>
            <w:proofErr w:type="gramEnd"/>
            <w:r>
              <w:t>修正載明</w:t>
            </w:r>
            <w:proofErr w:type="gramStart"/>
            <w:r>
              <w:t>採</w:t>
            </w:r>
            <w:proofErr w:type="gramEnd"/>
            <w:r>
              <w:t>機關對進場或參與工作人員辦理</w:t>
            </w:r>
            <w:proofErr w:type="gramStart"/>
            <w:r>
              <w:t>適</w:t>
            </w:r>
            <w:proofErr w:type="gramEnd"/>
            <w:r>
              <w:t>任性查核之積極作法，廠商須依約配合。經機關審查同意者，始得進場或參與工作。至於</w:t>
            </w:r>
            <w:proofErr w:type="gramStart"/>
            <w:r>
              <w:t>適</w:t>
            </w:r>
            <w:proofErr w:type="gramEnd"/>
            <w:r>
              <w:t>任性查核內容，由機關依個案特性通知廠商配合辦理。</w:t>
            </w:r>
            <w:r>
              <w:t>(</w:t>
            </w:r>
            <w:r>
              <w:t>例如涉及國家機密之關鍵基礎資通建設，資通安全管理法施行細則第</w:t>
            </w:r>
            <w:r>
              <w:t>4</w:t>
            </w:r>
            <w:r>
              <w:t>條第</w:t>
            </w:r>
            <w:r>
              <w:t>2</w:t>
            </w:r>
            <w:r>
              <w:t>項所定之查核事項；或工作場所是否位於核心區、工作內容是否涉及機敏事項等</w:t>
            </w:r>
            <w:r>
              <w:t>)</w:t>
            </w:r>
            <w:r>
              <w:t>。</w:t>
            </w:r>
          </w:p>
          <w:p w:rsidR="00E63A61" w:rsidRDefault="00E63A61">
            <w:pPr>
              <w:pStyle w:val="a"/>
              <w:numPr>
                <w:ilvl w:val="0"/>
                <w:numId w:val="0"/>
              </w:numPr>
            </w:pPr>
          </w:p>
        </w:tc>
      </w:tr>
    </w:tbl>
    <w:p w:rsidR="00E63A61" w:rsidRDefault="00E63A61">
      <w:pPr>
        <w:pStyle w:val="Standard"/>
      </w:pPr>
    </w:p>
    <w:sectPr w:rsidR="00E63A61" w:rsidSect="00E63A61">
      <w:headerReference w:type="default" r:id="rId7"/>
      <w:footerReference w:type="default" r:id="rId8"/>
      <w:pgSz w:w="16838" w:h="11906" w:orient="landscape"/>
      <w:pgMar w:top="1021" w:right="1021" w:bottom="1021" w:left="1021" w:header="737" w:footer="567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AD" w:rsidRDefault="006546AD" w:rsidP="00E63A61">
      <w:r>
        <w:separator/>
      </w:r>
    </w:p>
  </w:endnote>
  <w:endnote w:type="continuationSeparator" w:id="0">
    <w:p w:rsidR="006546AD" w:rsidRDefault="006546AD" w:rsidP="00E6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61" w:rsidRDefault="00E63A61">
    <w:pPr>
      <w:pStyle w:val="Footer"/>
      <w:jc w:val="center"/>
    </w:pPr>
    <w:r>
      <w:rPr>
        <w:rStyle w:val="PageNumber"/>
        <w:rFonts w:ascii="標楷體" w:eastAsia="標楷體" w:hAnsi="標楷體" w:cs="標楷體"/>
      </w:rPr>
      <w:t>第</w:t>
    </w:r>
    <w:r>
      <w:rPr>
        <w:rStyle w:val="PageNumber"/>
        <w:rFonts w:ascii="標楷體" w:eastAsia="標楷體" w:hAnsi="標楷體" w:cs="標楷體"/>
      </w:rPr>
      <w:fldChar w:fldCharType="begin"/>
    </w:r>
    <w:r>
      <w:rPr>
        <w:rStyle w:val="PageNumber"/>
        <w:rFonts w:ascii="標楷體" w:eastAsia="標楷體" w:hAnsi="標楷體" w:cs="標楷體"/>
      </w:rPr>
      <w:instrText xml:space="preserve"> PAGE </w:instrText>
    </w:r>
    <w:r>
      <w:rPr>
        <w:rStyle w:val="PageNumber"/>
        <w:rFonts w:ascii="標楷體" w:eastAsia="標楷體" w:hAnsi="標楷體" w:cs="標楷體"/>
      </w:rPr>
      <w:fldChar w:fldCharType="separate"/>
    </w:r>
    <w:r w:rsidR="004D5537">
      <w:rPr>
        <w:rStyle w:val="PageNumber"/>
        <w:rFonts w:ascii="標楷體" w:eastAsia="標楷體" w:hAnsi="標楷體" w:cs="標楷體"/>
        <w:noProof/>
      </w:rPr>
      <w:t>1</w:t>
    </w:r>
    <w:r>
      <w:rPr>
        <w:rStyle w:val="PageNumber"/>
        <w:rFonts w:ascii="標楷體" w:eastAsia="標楷體" w:hAnsi="標楷體" w:cs="標楷體"/>
      </w:rPr>
      <w:fldChar w:fldCharType="end"/>
    </w:r>
    <w:r>
      <w:rPr>
        <w:rStyle w:val="PageNumber"/>
        <w:rFonts w:ascii="標楷體" w:eastAsia="標楷體" w:hAnsi="標楷體" w:cs="標楷體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AD" w:rsidRDefault="006546AD" w:rsidP="00E63A61">
      <w:r w:rsidRPr="00E63A61">
        <w:rPr>
          <w:color w:val="000000"/>
        </w:rPr>
        <w:separator/>
      </w:r>
    </w:p>
  </w:footnote>
  <w:footnote w:type="continuationSeparator" w:id="0">
    <w:p w:rsidR="006546AD" w:rsidRDefault="006546AD" w:rsidP="00E6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61" w:rsidRDefault="00E63A61">
    <w:pPr>
      <w:pStyle w:val="Header"/>
      <w:ind w:right="36"/>
      <w:jc w:val="right"/>
      <w:rPr>
        <w:rFonts w:ascii="標楷體" w:eastAsia="標楷體" w:hAnsi="標楷體" w:cs="標楷體"/>
      </w:rPr>
    </w:pPr>
    <w:r>
      <w:rPr>
        <w:rFonts w:ascii="標楷體" w:eastAsia="標楷體" w:hAnsi="標楷體" w:cs="標楷體"/>
      </w:rPr>
      <w:t>112年7月19日修正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7255"/>
    <w:multiLevelType w:val="multilevel"/>
    <w:tmpl w:val="03B203AC"/>
    <w:styleLink w:val="1"/>
    <w:lvl w:ilvl="0">
      <w:start w:val="1"/>
      <w:numFmt w:val="decimal"/>
      <w:pStyle w:val="a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5565AD0"/>
    <w:multiLevelType w:val="multilevel"/>
    <w:tmpl w:val="2C16AC1E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0">
      <w:lvl w:ilvl="0">
        <w:start w:val="1"/>
        <w:numFmt w:val="decimal"/>
        <w:pStyle w:val="a"/>
        <w:lvlText w:val="%1."/>
        <w:lvlJc w:val="left"/>
      </w:lvl>
    </w:lvlOverride>
    <w:lvlOverride w:ilvl="0">
      <w:lvl w:ilvl="0">
        <w:start w:val="1"/>
        <w:numFmt w:val="decimal"/>
        <w:pStyle w:val="a"/>
        <w:lvlText w:val="%1."/>
        <w:lvlJc w:val="left"/>
      </w:lvl>
    </w:lvlOverride>
    <w:lvlOverride w:ilvl="0">
      <w:lvl w:ilvl="0">
        <w:start w:val="1"/>
        <w:numFmt w:val="decimal"/>
        <w:pStyle w:val="a"/>
        <w:lvlText w:val="%1."/>
        <w:lvlJc w:val="left"/>
      </w:lvl>
    </w:lvlOverride>
    <w:lvlOverride w:ilvl="0">
      <w:lvl w:ilvl="0">
        <w:start w:val="1"/>
        <w:numFmt w:val="decimal"/>
        <w:pStyle w:val="a"/>
        <w:lvlText w:val="%1."/>
        <w:lvlJc w:val="left"/>
      </w:lvl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3A61"/>
    <w:rsid w:val="004D5537"/>
    <w:rsid w:val="006546AD"/>
    <w:rsid w:val="00D07A28"/>
    <w:rsid w:val="00E6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E63A61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E63A61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63A61"/>
    <w:pPr>
      <w:spacing w:after="140" w:line="276" w:lineRule="auto"/>
    </w:pPr>
  </w:style>
  <w:style w:type="paragraph" w:styleId="a4">
    <w:name w:val="List"/>
    <w:basedOn w:val="Textbody"/>
    <w:rsid w:val="00E63A61"/>
    <w:rPr>
      <w:rFonts w:cs="Lucida Sans"/>
    </w:rPr>
  </w:style>
  <w:style w:type="paragraph" w:customStyle="1" w:styleId="Caption">
    <w:name w:val="Caption"/>
    <w:basedOn w:val="Standard"/>
    <w:rsid w:val="00E63A61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E63A61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E63A61"/>
    <w:pPr>
      <w:keepNext/>
      <w:widowControl/>
      <w:outlineLvl w:val="0"/>
    </w:pPr>
    <w:rPr>
      <w:rFonts w:ascii="Arial" w:eastAsia="標楷體" w:hAnsi="Arial" w:cs="新細明體, PMingLiU"/>
      <w:b/>
      <w:bCs/>
      <w:sz w:val="28"/>
      <w:szCs w:val="52"/>
    </w:rPr>
  </w:style>
  <w:style w:type="paragraph" w:customStyle="1" w:styleId="HeaderandFooter">
    <w:name w:val="Header and Footer"/>
    <w:basedOn w:val="Standard"/>
    <w:rsid w:val="00E63A6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E63A61"/>
    <w:pPr>
      <w:snapToGrid w:val="0"/>
    </w:pPr>
    <w:rPr>
      <w:sz w:val="20"/>
      <w:szCs w:val="20"/>
    </w:rPr>
  </w:style>
  <w:style w:type="paragraph" w:customStyle="1" w:styleId="Footer">
    <w:name w:val="Footer"/>
    <w:basedOn w:val="Standard"/>
    <w:rsid w:val="00E63A61"/>
    <w:pPr>
      <w:snapToGrid w:val="0"/>
    </w:pPr>
    <w:rPr>
      <w:sz w:val="20"/>
      <w:szCs w:val="20"/>
    </w:rPr>
  </w:style>
  <w:style w:type="paragraph" w:customStyle="1" w:styleId="a">
    <w:name w:val="說明(編號)"/>
    <w:basedOn w:val="Standard"/>
    <w:rsid w:val="00E63A61"/>
    <w:pPr>
      <w:numPr>
        <w:numId w:val="2"/>
      </w:numPr>
      <w:overflowPunct w:val="0"/>
      <w:jc w:val="both"/>
    </w:pPr>
    <w:rPr>
      <w:rFonts w:ascii="標楷體" w:eastAsia="標楷體" w:hAnsi="標楷體"/>
      <w:color w:val="0000FF"/>
    </w:rPr>
  </w:style>
  <w:style w:type="paragraph" w:customStyle="1" w:styleId="TableContents">
    <w:name w:val="Table Contents"/>
    <w:basedOn w:val="Standard"/>
    <w:rsid w:val="00E63A61"/>
    <w:pPr>
      <w:suppressLineNumbers/>
    </w:pPr>
  </w:style>
  <w:style w:type="paragraph" w:customStyle="1" w:styleId="TableHeading">
    <w:name w:val="Table Heading"/>
    <w:basedOn w:val="TableContents"/>
    <w:rsid w:val="00E63A61"/>
    <w:pPr>
      <w:jc w:val="center"/>
    </w:pPr>
    <w:rPr>
      <w:b/>
      <w:bCs/>
    </w:rPr>
  </w:style>
  <w:style w:type="paragraph" w:customStyle="1" w:styleId="a5">
    <w:name w:val="款(一)"/>
    <w:basedOn w:val="Standard"/>
    <w:rsid w:val="00E63A61"/>
    <w:pPr>
      <w:ind w:left="456" w:hanging="278"/>
      <w:jc w:val="both"/>
    </w:pPr>
    <w:rPr>
      <w:rFonts w:ascii="標楷體" w:eastAsia="標楷體" w:hAnsi="標楷體"/>
    </w:rPr>
  </w:style>
  <w:style w:type="paragraph" w:customStyle="1" w:styleId="10">
    <w:name w:val="目1"/>
    <w:basedOn w:val="Standard"/>
    <w:rsid w:val="00E63A61"/>
    <w:pPr>
      <w:overflowPunct w:val="0"/>
      <w:ind w:left="598" w:hanging="142"/>
      <w:jc w:val="both"/>
    </w:pPr>
    <w:rPr>
      <w:rFonts w:ascii="標楷體" w:eastAsia="標楷體" w:hAnsi="標楷體" w:cs="標楷體"/>
    </w:rPr>
  </w:style>
  <w:style w:type="paragraph" w:customStyle="1" w:styleId="11">
    <w:name w:val="之(1)"/>
    <w:basedOn w:val="Standard"/>
    <w:rsid w:val="00E63A61"/>
    <w:pPr>
      <w:overflowPunct w:val="0"/>
      <w:ind w:left="883" w:hanging="283"/>
      <w:jc w:val="both"/>
    </w:pPr>
    <w:rPr>
      <w:rFonts w:ascii="標楷體" w:eastAsia="標楷體" w:hAnsi="標楷體"/>
    </w:rPr>
  </w:style>
  <w:style w:type="paragraph" w:customStyle="1" w:styleId="a6">
    <w:name w:val="說明"/>
    <w:basedOn w:val="Standard"/>
    <w:rsid w:val="00E63A61"/>
    <w:pPr>
      <w:overflowPunct w:val="0"/>
      <w:jc w:val="both"/>
    </w:pPr>
    <w:rPr>
      <w:rFonts w:ascii="標楷體" w:eastAsia="標楷體" w:hAnsi="標楷體"/>
      <w:color w:val="0000FF"/>
    </w:rPr>
  </w:style>
  <w:style w:type="paragraph" w:customStyle="1" w:styleId="12">
    <w:name w:val="條1"/>
    <w:basedOn w:val="Standard"/>
    <w:rsid w:val="00E63A61"/>
    <w:pPr>
      <w:jc w:val="both"/>
    </w:pPr>
    <w:rPr>
      <w:rFonts w:ascii="標楷體" w:eastAsia="標楷體" w:hAnsi="標楷體" w:cs="標楷體"/>
      <w:b/>
    </w:rPr>
  </w:style>
  <w:style w:type="paragraph" w:customStyle="1" w:styleId="-1">
    <w:name w:val="附-1"/>
    <w:basedOn w:val="Standard"/>
    <w:rsid w:val="00E63A61"/>
    <w:pPr>
      <w:ind w:left="456" w:hanging="278"/>
      <w:jc w:val="both"/>
    </w:pPr>
    <w:rPr>
      <w:rFonts w:ascii="標楷體" w:eastAsia="標楷體" w:hAnsi="標楷體"/>
    </w:rPr>
  </w:style>
  <w:style w:type="paragraph" w:customStyle="1" w:styleId="-11">
    <w:name w:val="附-1.1"/>
    <w:basedOn w:val="Standard"/>
    <w:rsid w:val="00E63A61"/>
    <w:pPr>
      <w:ind w:left="814" w:hanging="492"/>
      <w:jc w:val="both"/>
    </w:pPr>
    <w:rPr>
      <w:rFonts w:ascii="標楷體" w:eastAsia="標楷體" w:hAnsi="標楷體"/>
    </w:rPr>
  </w:style>
  <w:style w:type="paragraph" w:customStyle="1" w:styleId="-111">
    <w:name w:val="附-1.1.1"/>
    <w:basedOn w:val="Standard"/>
    <w:rsid w:val="00E63A61"/>
    <w:pPr>
      <w:ind w:left="1522" w:hanging="708"/>
      <w:jc w:val="both"/>
    </w:pPr>
    <w:rPr>
      <w:rFonts w:ascii="標楷體" w:eastAsia="標楷體" w:hAnsi="標楷體"/>
    </w:rPr>
  </w:style>
  <w:style w:type="paragraph" w:customStyle="1" w:styleId="1a">
    <w:name w:val="之(1)之a"/>
    <w:basedOn w:val="Standard"/>
    <w:rsid w:val="00E63A61"/>
    <w:pPr>
      <w:overflowPunct w:val="0"/>
      <w:ind w:left="1134" w:hanging="170"/>
      <w:jc w:val="both"/>
    </w:pPr>
    <w:rPr>
      <w:rFonts w:ascii="標楷體" w:eastAsia="標楷體" w:hAnsi="標楷體" w:cs="標楷體"/>
    </w:rPr>
  </w:style>
  <w:style w:type="paragraph" w:customStyle="1" w:styleId="PreformattedText">
    <w:name w:val="Preformatted Text"/>
    <w:basedOn w:val="Standard"/>
    <w:rsid w:val="00E63A61"/>
    <w:rPr>
      <w:rFonts w:ascii="Liberation Mono" w:eastAsia="細明體" w:hAnsi="Liberation Mono" w:cs="Liberation Mono"/>
      <w:sz w:val="20"/>
      <w:szCs w:val="20"/>
    </w:rPr>
  </w:style>
  <w:style w:type="paragraph" w:customStyle="1" w:styleId="Framecontents">
    <w:name w:val="Frame contents"/>
    <w:basedOn w:val="Standard"/>
    <w:rsid w:val="00E63A61"/>
  </w:style>
  <w:style w:type="paragraph" w:customStyle="1" w:styleId="Quotations">
    <w:name w:val="Quotations"/>
    <w:basedOn w:val="Standard"/>
    <w:rsid w:val="00E63A61"/>
    <w:pPr>
      <w:spacing w:after="283"/>
      <w:ind w:left="567" w:right="567"/>
    </w:pPr>
  </w:style>
  <w:style w:type="paragraph" w:customStyle="1" w:styleId="HorizontalLine">
    <w:name w:val="Horizontal Line"/>
    <w:basedOn w:val="Standard"/>
    <w:next w:val="Textbody"/>
    <w:rsid w:val="00E63A6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ddressee">
    <w:name w:val="Addressee"/>
    <w:basedOn w:val="Standard"/>
    <w:rsid w:val="00E63A61"/>
    <w:pPr>
      <w:suppressLineNumbers/>
      <w:spacing w:after="60"/>
    </w:pPr>
  </w:style>
  <w:style w:type="paragraph" w:customStyle="1" w:styleId="13">
    <w:name w:val="表格內文1"/>
    <w:rsid w:val="00E63A6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character" w:customStyle="1" w:styleId="Internetlink">
    <w:name w:val="Internet link"/>
    <w:rsid w:val="00E63A61"/>
    <w:rPr>
      <w:color w:val="0000FF"/>
      <w:u w:val="single"/>
    </w:rPr>
  </w:style>
  <w:style w:type="character" w:customStyle="1" w:styleId="PageNumber">
    <w:name w:val="Page Number"/>
    <w:basedOn w:val="a1"/>
    <w:rsid w:val="00E63A61"/>
  </w:style>
  <w:style w:type="character" w:customStyle="1" w:styleId="NumberingSymbols">
    <w:name w:val="Numbering Symbols"/>
    <w:rsid w:val="00E63A61"/>
  </w:style>
  <w:style w:type="character" w:customStyle="1" w:styleId="Character20style">
    <w:name w:val="Character_20_style"/>
    <w:rsid w:val="00E63A61"/>
  </w:style>
  <w:style w:type="numbering" w:customStyle="1" w:styleId="Numbering123">
    <w:name w:val="Numbering 123"/>
    <w:basedOn w:val="a3"/>
    <w:rsid w:val="00E63A61"/>
    <w:pPr>
      <w:numPr>
        <w:numId w:val="1"/>
      </w:numPr>
    </w:pPr>
  </w:style>
  <w:style w:type="numbering" w:customStyle="1" w:styleId="1">
    <w:name w:val="說明(編號)_1"/>
    <w:basedOn w:val="a3"/>
    <w:rsid w:val="00E63A61"/>
    <w:pPr>
      <w:numPr>
        <w:numId w:val="2"/>
      </w:numPr>
    </w:pPr>
  </w:style>
  <w:style w:type="paragraph" w:styleId="a7">
    <w:name w:val="header"/>
    <w:basedOn w:val="a0"/>
    <w:link w:val="a8"/>
    <w:uiPriority w:val="99"/>
    <w:semiHidden/>
    <w:unhideWhenUsed/>
    <w:rsid w:val="00E63A6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首 字元"/>
    <w:basedOn w:val="a1"/>
    <w:link w:val="a7"/>
    <w:uiPriority w:val="99"/>
    <w:semiHidden/>
    <w:rsid w:val="00E63A61"/>
    <w:rPr>
      <w:rFonts w:cs="Mangal"/>
      <w:sz w:val="20"/>
      <w:szCs w:val="18"/>
    </w:rPr>
  </w:style>
  <w:style w:type="paragraph" w:styleId="a9">
    <w:name w:val="footer"/>
    <w:basedOn w:val="a0"/>
    <w:link w:val="aa"/>
    <w:uiPriority w:val="99"/>
    <w:semiHidden/>
    <w:unhideWhenUsed/>
    <w:rsid w:val="00E63A6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尾 字元"/>
    <w:basedOn w:val="a1"/>
    <w:link w:val="a9"/>
    <w:uiPriority w:val="99"/>
    <w:semiHidden/>
    <w:rsid w:val="00E63A61"/>
    <w:rPr>
      <w:rFonts w:cs="Mangal"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曾安慈</cp:lastModifiedBy>
  <cp:revision>2</cp:revision>
  <dcterms:created xsi:type="dcterms:W3CDTF">2022-11-22T10:39:00Z</dcterms:created>
  <dcterms:modified xsi:type="dcterms:W3CDTF">2023-07-19T03:31:00Z</dcterms:modified>
</cp:coreProperties>
</file>