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B8B" w:rsidRPr="00EB71B8" w:rsidRDefault="00136AEC" w:rsidP="00FA6054">
      <w:pPr>
        <w:spacing w:line="440" w:lineRule="exact"/>
        <w:rPr>
          <w:rFonts w:ascii="標楷體" w:eastAsia="標楷體" w:hAnsi="標楷體" w:cs="Times New Roman"/>
          <w:b/>
          <w:sz w:val="40"/>
          <w:szCs w:val="28"/>
          <w:u w:val="single"/>
        </w:rPr>
      </w:pPr>
      <w:r w:rsidRPr="00136AEC">
        <w:rPr>
          <w:rFonts w:ascii="標楷體" w:eastAsia="標楷體" w:hAnsi="標楷體" w:cs="Times New Roman" w:hint="eastAsia"/>
          <w:b/>
          <w:sz w:val="40"/>
          <w:szCs w:val="28"/>
        </w:rPr>
        <w:t>案</w:t>
      </w:r>
      <w:r w:rsidRPr="00EB71B8">
        <w:rPr>
          <w:rFonts w:ascii="標楷體" w:eastAsia="標楷體" w:hAnsi="標楷體" w:cs="Times New Roman" w:hint="eastAsia"/>
          <w:b/>
          <w:sz w:val="40"/>
          <w:szCs w:val="28"/>
        </w:rPr>
        <w:t>例名稱：</w:t>
      </w:r>
      <w:r w:rsidR="002E0A6C">
        <w:rPr>
          <w:rFonts w:ascii="標楷體" w:eastAsia="標楷體" w:hAnsi="標楷體" w:hint="eastAsia"/>
          <w:b/>
          <w:sz w:val="40"/>
          <w:szCs w:val="28"/>
          <w:u w:val="single"/>
        </w:rPr>
        <w:t>經濟部興建國際展覽館計價</w:t>
      </w:r>
      <w:r w:rsidR="002E0A6C" w:rsidRPr="001009AE">
        <w:rPr>
          <w:rFonts w:ascii="標楷體" w:eastAsia="標楷體" w:hAnsi="標楷體" w:hint="eastAsia"/>
          <w:b/>
          <w:sz w:val="40"/>
          <w:szCs w:val="28"/>
          <w:u w:val="single"/>
        </w:rPr>
        <w:t>問題</w:t>
      </w:r>
      <w:r w:rsidR="002E0A6C">
        <w:rPr>
          <w:rFonts w:ascii="標楷體" w:eastAsia="標楷體" w:hAnsi="標楷體" w:hint="eastAsia"/>
          <w:b/>
          <w:sz w:val="40"/>
          <w:szCs w:val="28"/>
          <w:u w:val="single"/>
        </w:rPr>
        <w:t>影響接電營運</w:t>
      </w:r>
    </w:p>
    <w:p w:rsidR="00446BA6" w:rsidRPr="00EB71B8" w:rsidRDefault="00446BA6" w:rsidP="00EB3C83">
      <w:pPr>
        <w:spacing w:line="200" w:lineRule="exact"/>
        <w:rPr>
          <w:rFonts w:ascii="標楷體" w:eastAsia="標楷體" w:hAnsi="標楷體" w:cs="Times New Roman"/>
          <w:sz w:val="32"/>
          <w:szCs w:val="28"/>
        </w:rPr>
      </w:pPr>
    </w:p>
    <w:p w:rsidR="00EF6BF7" w:rsidRPr="00EB71B8" w:rsidRDefault="00EF6BF7" w:rsidP="00EF6BF7">
      <w:pPr>
        <w:spacing w:line="360" w:lineRule="exact"/>
        <w:rPr>
          <w:rFonts w:ascii="標楷體" w:eastAsia="標楷體" w:hAnsi="標楷體"/>
          <w:sz w:val="32"/>
          <w:szCs w:val="28"/>
        </w:rPr>
      </w:pPr>
      <w:r w:rsidRPr="00EB71B8">
        <w:rPr>
          <w:rFonts w:ascii="標楷體" w:eastAsia="標楷體" w:hAnsi="標楷體" w:hint="eastAsia"/>
          <w:sz w:val="32"/>
          <w:szCs w:val="28"/>
        </w:rPr>
        <w:t>類型</w:t>
      </w:r>
    </w:p>
    <w:p w:rsidR="00EF6BF7" w:rsidRPr="00EB71B8" w:rsidRDefault="00C30E2E" w:rsidP="00EF6BF7">
      <w:pPr>
        <w:rPr>
          <w:rFonts w:ascii="標楷體" w:eastAsia="標楷體" w:hAnsi="標楷體"/>
          <w:color w:val="FF0000"/>
          <w:szCs w:val="28"/>
          <w:u w:val="single"/>
        </w:rPr>
      </w:pPr>
      <w:r w:rsidRPr="00EB71B8">
        <w:rPr>
          <w:rFonts w:ascii="標楷體" w:eastAsia="標楷體" w:hAnsi="標楷體" w:hint="eastAsia"/>
          <w:color w:val="FF0000"/>
          <w:szCs w:val="28"/>
        </w:rPr>
        <w:t>□</w:t>
      </w:r>
      <w:r w:rsidR="00EB71B8" w:rsidRPr="00EB71B8">
        <w:rPr>
          <w:rFonts w:ascii="標楷體" w:eastAsia="標楷體" w:hAnsi="標楷體" w:hint="eastAsia"/>
          <w:color w:val="FF0000"/>
          <w:szCs w:val="28"/>
        </w:rPr>
        <w:t>國土永續</w:t>
      </w:r>
      <w:r w:rsidR="00EF6BF7" w:rsidRPr="00EB71B8">
        <w:rPr>
          <w:rFonts w:ascii="標楷體" w:eastAsia="標楷體" w:hAnsi="標楷體"/>
          <w:color w:val="FF0000"/>
          <w:szCs w:val="28"/>
        </w:rPr>
        <w:t xml:space="preserve"> </w:t>
      </w:r>
      <w:r w:rsidR="00EF6BF7" w:rsidRPr="00EB71B8">
        <w:rPr>
          <w:rFonts w:ascii="標楷體" w:eastAsia="標楷體" w:hAnsi="標楷體" w:hint="eastAsia"/>
          <w:color w:val="FF0000"/>
          <w:szCs w:val="28"/>
        </w:rPr>
        <w:t>□</w:t>
      </w:r>
      <w:r w:rsidR="00EB71B8" w:rsidRPr="00EB71B8">
        <w:rPr>
          <w:rFonts w:ascii="標楷體" w:eastAsia="標楷體" w:hAnsi="標楷體" w:hint="eastAsia"/>
          <w:color w:val="FF0000"/>
          <w:szCs w:val="28"/>
        </w:rPr>
        <w:t xml:space="preserve">政府採購 </w:t>
      </w:r>
      <w:r w:rsidR="002E0A6C">
        <w:rPr>
          <w:rFonts w:ascii="標楷體" w:eastAsia="標楷體" w:hAnsi="標楷體" w:hint="eastAsia"/>
          <w:color w:val="FF0000"/>
          <w:szCs w:val="28"/>
        </w:rPr>
        <w:t>■</w:t>
      </w:r>
      <w:r w:rsidR="00EB71B8" w:rsidRPr="00EB71B8">
        <w:rPr>
          <w:rFonts w:ascii="標楷體" w:eastAsia="標楷體" w:hAnsi="標楷體" w:hint="eastAsia"/>
          <w:color w:val="FF0000"/>
          <w:szCs w:val="28"/>
        </w:rPr>
        <w:t>公共建設 □勞動政策 □綜合行政 □其他</w:t>
      </w:r>
      <w:r w:rsidR="00EF6BF7" w:rsidRPr="00EB71B8">
        <w:rPr>
          <w:rFonts w:ascii="標楷體" w:eastAsia="標楷體" w:hAnsi="標楷體"/>
          <w:color w:val="FF0000"/>
          <w:szCs w:val="28"/>
          <w:u w:val="single"/>
        </w:rPr>
        <w:t xml:space="preserve">         </w:t>
      </w:r>
      <w:r w:rsidR="00EF6BF7" w:rsidRPr="00EB71B8">
        <w:rPr>
          <w:rFonts w:ascii="標楷體" w:eastAsia="標楷體" w:hAnsi="標楷體"/>
          <w:color w:val="FF0000"/>
          <w:szCs w:val="28"/>
        </w:rPr>
        <w:t xml:space="preserve"> </w:t>
      </w:r>
    </w:p>
    <w:p w:rsidR="00EF6BF7" w:rsidRPr="00EB71B8" w:rsidRDefault="004D254C" w:rsidP="002E0A6C">
      <w:pPr>
        <w:spacing w:beforeLines="25" w:line="360" w:lineRule="exact"/>
        <w:rPr>
          <w:rFonts w:ascii="標楷體" w:eastAsia="標楷體" w:hAnsi="標楷體"/>
          <w:sz w:val="32"/>
          <w:szCs w:val="28"/>
        </w:rPr>
      </w:pPr>
      <w:r w:rsidRPr="004D254C">
        <w:rPr>
          <w:rFonts w:ascii="標楷體" w:eastAsia="標楷體" w:hAnsi="標楷體" w:cs="Times New Roman"/>
          <w:b/>
          <w:noProof/>
          <w:sz w:val="40"/>
          <w:szCs w:val="28"/>
        </w:rPr>
        <w:pict>
          <v:shapetype id="_x0000_t202" coordsize="21600,21600" o:spt="202" path="m,l,21600r21600,l21600,xe">
            <v:stroke joinstyle="miter"/>
            <v:path gradientshapeok="t" o:connecttype="rect"/>
          </v:shapetype>
          <v:shape id="_x0000_s2052" type="#_x0000_t202" style="position:absolute;margin-left:355.45pt;margin-top:3.2pt;width:133.65pt;height:82.8pt;z-index:251658240;mso-width-relative:margin;mso-height-relative:margin">
            <v:textbox>
              <w:txbxContent>
                <w:p w:rsidR="00EF6BF7" w:rsidRPr="00EB71B8" w:rsidRDefault="002E0A6C" w:rsidP="00EF6BF7">
                  <w:pPr>
                    <w:spacing w:line="300" w:lineRule="exact"/>
                    <w:rPr>
                      <w:rFonts w:ascii="標楷體" w:eastAsia="標楷體" w:hAnsi="標楷體"/>
                      <w:sz w:val="20"/>
                    </w:rPr>
                  </w:pPr>
                  <w:r>
                    <w:rPr>
                      <w:rFonts w:ascii="標楷體" w:eastAsia="標楷體" w:hAnsi="標楷體" w:hint="eastAsia"/>
                      <w:sz w:val="20"/>
                    </w:rPr>
                    <w:t>■</w:t>
                  </w:r>
                  <w:r w:rsidR="00EF6BF7" w:rsidRPr="00EB71B8">
                    <w:rPr>
                      <w:rFonts w:ascii="標楷體" w:eastAsia="標楷體" w:hAnsi="標楷體" w:hint="eastAsia"/>
                      <w:sz w:val="20"/>
                    </w:rPr>
                    <w:t>上傳本會網站</w:t>
                  </w:r>
                </w:p>
                <w:p w:rsidR="00EF6BF7" w:rsidRPr="00EB71B8" w:rsidRDefault="00EF6BF7" w:rsidP="00EF6BF7">
                  <w:pPr>
                    <w:spacing w:line="300" w:lineRule="exact"/>
                    <w:rPr>
                      <w:rFonts w:ascii="標楷體" w:eastAsia="標楷體" w:hAnsi="標楷體"/>
                      <w:sz w:val="20"/>
                    </w:rPr>
                  </w:pPr>
                  <w:r w:rsidRPr="00EB71B8">
                    <w:rPr>
                      <w:rFonts w:ascii="標楷體" w:eastAsia="標楷體" w:hAnsi="標楷體" w:hint="eastAsia"/>
                      <w:sz w:val="20"/>
                    </w:rPr>
                    <w:t>□不上傳本會網站：</w:t>
                  </w:r>
                </w:p>
                <w:p w:rsidR="00EF6BF7" w:rsidRPr="00EB71B8" w:rsidRDefault="00EF6BF7" w:rsidP="00EF6BF7">
                  <w:pPr>
                    <w:spacing w:line="300" w:lineRule="exact"/>
                    <w:rPr>
                      <w:rFonts w:ascii="標楷體" w:eastAsia="標楷體" w:hAnsi="標楷體"/>
                      <w:sz w:val="20"/>
                    </w:rPr>
                  </w:pPr>
                  <w:r w:rsidRPr="00EB71B8">
                    <w:rPr>
                      <w:rFonts w:ascii="標楷體" w:eastAsia="標楷體" w:hAnsi="標楷體" w:hint="eastAsia"/>
                      <w:sz w:val="20"/>
                    </w:rPr>
                    <w:t xml:space="preserve">  □涉其他部會機關本位</w:t>
                  </w:r>
                </w:p>
                <w:p w:rsidR="00EF6BF7" w:rsidRPr="00EB71B8" w:rsidRDefault="00EF6BF7" w:rsidP="00EF6BF7">
                  <w:pPr>
                    <w:spacing w:line="300" w:lineRule="exact"/>
                    <w:rPr>
                      <w:rFonts w:ascii="標楷體" w:eastAsia="標楷體" w:hAnsi="標楷體"/>
                      <w:sz w:val="20"/>
                    </w:rPr>
                  </w:pPr>
                  <w:r w:rsidRPr="00EB71B8">
                    <w:rPr>
                      <w:rFonts w:ascii="標楷體" w:eastAsia="標楷體" w:hAnsi="標楷體" w:hint="eastAsia"/>
                      <w:sz w:val="20"/>
                    </w:rPr>
                    <w:t xml:space="preserve">  □尚在進行中</w:t>
                  </w:r>
                </w:p>
                <w:p w:rsidR="00EF6BF7" w:rsidRPr="00EB71B8" w:rsidRDefault="00EF6BF7" w:rsidP="00EF6BF7">
                  <w:pPr>
                    <w:spacing w:line="300" w:lineRule="exact"/>
                    <w:rPr>
                      <w:rFonts w:ascii="標楷體" w:eastAsia="標楷體" w:hAnsi="標楷體"/>
                      <w:sz w:val="20"/>
                    </w:rPr>
                  </w:pPr>
                  <w:r w:rsidRPr="00EB71B8">
                    <w:rPr>
                      <w:rFonts w:ascii="標楷體" w:eastAsia="標楷體" w:hAnsi="標楷體" w:hint="eastAsia"/>
                      <w:sz w:val="20"/>
                    </w:rPr>
                    <w:t xml:space="preserve">  □其他____________</w:t>
                  </w:r>
                </w:p>
              </w:txbxContent>
            </v:textbox>
          </v:shape>
        </w:pict>
      </w:r>
      <w:r w:rsidR="00EF6BF7" w:rsidRPr="00EB71B8">
        <w:rPr>
          <w:rFonts w:ascii="標楷體" w:eastAsia="標楷體" w:hAnsi="標楷體" w:hint="eastAsia"/>
          <w:sz w:val="32"/>
          <w:szCs w:val="28"/>
        </w:rPr>
        <w:t>是否涉及跨部會協調</w:t>
      </w:r>
    </w:p>
    <w:p w:rsidR="00EB71B8" w:rsidRDefault="00EF6BF7" w:rsidP="00C30E2E">
      <w:pPr>
        <w:rPr>
          <w:rFonts w:ascii="標楷體" w:eastAsia="標楷體" w:hAnsi="標楷體"/>
          <w:szCs w:val="24"/>
        </w:rPr>
      </w:pPr>
      <w:r w:rsidRPr="00EB71B8">
        <w:rPr>
          <w:rFonts w:ascii="標楷體" w:eastAsia="標楷體" w:hAnsi="標楷體" w:hint="eastAsia"/>
          <w:szCs w:val="24"/>
        </w:rPr>
        <w:t>□是</w:t>
      </w:r>
      <w:r w:rsidR="00EB71B8">
        <w:rPr>
          <w:rFonts w:ascii="標楷體" w:eastAsia="標楷體" w:hAnsi="標楷體" w:hint="eastAsia"/>
          <w:szCs w:val="24"/>
        </w:rPr>
        <w:t>，</w:t>
      </w:r>
      <w:r w:rsidR="00C30E2E" w:rsidRPr="00EB71B8">
        <w:rPr>
          <w:rFonts w:ascii="標楷體" w:eastAsia="標楷體" w:hAnsi="標楷體" w:hint="eastAsia"/>
          <w:szCs w:val="24"/>
        </w:rPr>
        <w:t>主政部會</w:t>
      </w:r>
      <w:r w:rsidR="00EB71B8">
        <w:rPr>
          <w:rFonts w:ascii="標楷體" w:eastAsia="標楷體" w:hAnsi="標楷體" w:hint="eastAsia"/>
          <w:szCs w:val="24"/>
        </w:rPr>
        <w:t>：</w:t>
      </w:r>
      <w:r w:rsidR="00C30E2E" w:rsidRPr="00EB71B8">
        <w:rPr>
          <w:rFonts w:ascii="標楷體" w:eastAsia="標楷體" w:hAnsi="標楷體" w:hint="eastAsia"/>
          <w:szCs w:val="24"/>
        </w:rPr>
        <w:t>__________</w:t>
      </w:r>
    </w:p>
    <w:p w:rsidR="00C30E2E" w:rsidRPr="00EB71B8" w:rsidRDefault="00EB71B8" w:rsidP="00C30E2E">
      <w:pPr>
        <w:rPr>
          <w:rFonts w:ascii="標楷體" w:eastAsia="標楷體" w:hAnsi="標楷體"/>
          <w:szCs w:val="24"/>
        </w:rPr>
      </w:pPr>
      <w:r>
        <w:rPr>
          <w:rFonts w:ascii="標楷體" w:eastAsia="標楷體" w:hAnsi="標楷體" w:hint="eastAsia"/>
          <w:szCs w:val="24"/>
        </w:rPr>
        <w:t xml:space="preserve">      </w:t>
      </w:r>
      <w:r w:rsidR="00C30E2E" w:rsidRPr="00EB71B8">
        <w:rPr>
          <w:rFonts w:ascii="標楷體" w:eastAsia="標楷體" w:hAnsi="標楷體" w:hint="eastAsia"/>
          <w:szCs w:val="24"/>
        </w:rPr>
        <w:t>涉及機關</w:t>
      </w:r>
      <w:r>
        <w:rPr>
          <w:rFonts w:ascii="標楷體" w:eastAsia="標楷體" w:hAnsi="標楷體" w:hint="eastAsia"/>
          <w:szCs w:val="24"/>
        </w:rPr>
        <w:t>：</w:t>
      </w:r>
      <w:r w:rsidR="00C30E2E" w:rsidRPr="00EB71B8">
        <w:rPr>
          <w:rFonts w:ascii="標楷體" w:eastAsia="標楷體" w:hAnsi="標楷體" w:hint="eastAsia"/>
          <w:szCs w:val="24"/>
        </w:rPr>
        <w:t>_______________________</w:t>
      </w:r>
    </w:p>
    <w:p w:rsidR="00EB71B8" w:rsidRPr="00EB71B8" w:rsidRDefault="002E0A6C" w:rsidP="002E0A6C">
      <w:pPr>
        <w:spacing w:afterLines="50"/>
        <w:rPr>
          <w:rFonts w:ascii="標楷體" w:eastAsia="標楷體" w:hAnsi="標楷體"/>
          <w:szCs w:val="24"/>
        </w:rPr>
      </w:pPr>
      <w:r>
        <w:rPr>
          <w:rFonts w:ascii="標楷體" w:eastAsia="標楷體" w:hAnsi="標楷體" w:hint="eastAsia"/>
          <w:szCs w:val="24"/>
        </w:rPr>
        <w:t>■</w:t>
      </w:r>
      <w:r w:rsidR="00EF6BF7" w:rsidRPr="00EB71B8">
        <w:rPr>
          <w:rFonts w:ascii="標楷體" w:eastAsia="標楷體" w:hAnsi="標楷體" w:hint="eastAsia"/>
          <w:szCs w:val="24"/>
        </w:rPr>
        <w:t>否</w:t>
      </w:r>
    </w:p>
    <w:tbl>
      <w:tblPr>
        <w:tblStyle w:val="a7"/>
        <w:tblW w:w="0" w:type="auto"/>
        <w:tblInd w:w="108" w:type="dxa"/>
        <w:tblLook w:val="04A0"/>
      </w:tblPr>
      <w:tblGrid>
        <w:gridCol w:w="851"/>
        <w:gridCol w:w="4039"/>
        <w:gridCol w:w="4891"/>
      </w:tblGrid>
      <w:tr w:rsidR="00FF04DF" w:rsidRPr="00EB71B8" w:rsidTr="0009279E">
        <w:trPr>
          <w:trHeight w:val="323"/>
        </w:trPr>
        <w:tc>
          <w:tcPr>
            <w:tcW w:w="851" w:type="dxa"/>
            <w:vAlign w:val="center"/>
          </w:tcPr>
          <w:p w:rsidR="00FF04DF" w:rsidRPr="00EB71B8" w:rsidRDefault="00FF04DF" w:rsidP="0009279E">
            <w:pPr>
              <w:spacing w:line="360" w:lineRule="exact"/>
              <w:jc w:val="both"/>
              <w:rPr>
                <w:rFonts w:ascii="標楷體" w:eastAsia="標楷體" w:hAnsi="標楷體" w:cs="Times New Roman"/>
                <w:sz w:val="28"/>
                <w:szCs w:val="28"/>
              </w:rPr>
            </w:pPr>
            <w:r w:rsidRPr="00EB71B8">
              <w:rPr>
                <w:rFonts w:ascii="標楷體" w:eastAsia="標楷體" w:hAnsi="標楷體" w:cs="Times New Roman" w:hint="eastAsia"/>
                <w:sz w:val="28"/>
                <w:szCs w:val="28"/>
              </w:rPr>
              <w:t>項目</w:t>
            </w:r>
          </w:p>
        </w:tc>
        <w:tc>
          <w:tcPr>
            <w:tcW w:w="8930" w:type="dxa"/>
            <w:gridSpan w:val="2"/>
            <w:vAlign w:val="center"/>
          </w:tcPr>
          <w:p w:rsidR="00FF04DF" w:rsidRPr="00EB71B8" w:rsidRDefault="00FF04DF" w:rsidP="0009279E">
            <w:pPr>
              <w:spacing w:line="360" w:lineRule="exact"/>
              <w:jc w:val="center"/>
              <w:rPr>
                <w:rFonts w:ascii="標楷體" w:eastAsia="標楷體" w:hAnsi="標楷體" w:cs="Times New Roman"/>
                <w:sz w:val="28"/>
                <w:szCs w:val="28"/>
              </w:rPr>
            </w:pPr>
            <w:r w:rsidRPr="00EB71B8">
              <w:rPr>
                <w:rFonts w:ascii="標楷體" w:eastAsia="標楷體" w:hAnsi="標楷體" w:cs="Times New Roman" w:hint="eastAsia"/>
                <w:sz w:val="28"/>
                <w:szCs w:val="28"/>
              </w:rPr>
              <w:t>說明</w:t>
            </w:r>
          </w:p>
        </w:tc>
      </w:tr>
      <w:tr w:rsidR="00BD42AD" w:rsidRPr="00EB71B8" w:rsidTr="00A047B1">
        <w:trPr>
          <w:trHeight w:val="852"/>
        </w:trPr>
        <w:tc>
          <w:tcPr>
            <w:tcW w:w="851" w:type="dxa"/>
            <w:vAlign w:val="center"/>
          </w:tcPr>
          <w:p w:rsidR="00BD42AD" w:rsidRPr="00EB71B8" w:rsidRDefault="00BD42AD" w:rsidP="00DC0EFB">
            <w:pPr>
              <w:spacing w:line="300" w:lineRule="exact"/>
              <w:jc w:val="center"/>
              <w:rPr>
                <w:rFonts w:ascii="標楷體" w:eastAsia="標楷體" w:hAnsi="標楷體"/>
                <w:sz w:val="28"/>
                <w:szCs w:val="28"/>
              </w:rPr>
            </w:pPr>
            <w:r w:rsidRPr="00EB71B8">
              <w:rPr>
                <w:rFonts w:ascii="標楷體" w:eastAsia="標楷體" w:hAnsi="標楷體" w:hint="eastAsia"/>
                <w:sz w:val="28"/>
                <w:szCs w:val="28"/>
              </w:rPr>
              <w:t>案由</w:t>
            </w:r>
          </w:p>
        </w:tc>
        <w:tc>
          <w:tcPr>
            <w:tcW w:w="8930" w:type="dxa"/>
            <w:gridSpan w:val="2"/>
          </w:tcPr>
          <w:p w:rsidR="00BD42AD" w:rsidRPr="00EB71B8" w:rsidRDefault="002E0A6C" w:rsidP="0004020F">
            <w:pPr>
              <w:spacing w:line="320" w:lineRule="exact"/>
              <w:jc w:val="center"/>
              <w:rPr>
                <w:rFonts w:ascii="標楷體" w:eastAsia="標楷體" w:hAnsi="標楷體" w:cs="Times New Roman"/>
                <w:sz w:val="28"/>
                <w:szCs w:val="28"/>
              </w:rPr>
            </w:pPr>
            <w:r>
              <w:rPr>
                <w:rFonts w:ascii="標楷體" w:eastAsia="標楷體" w:hAnsi="標楷體" w:hint="eastAsia"/>
                <w:sz w:val="28"/>
                <w:szCs w:val="28"/>
              </w:rPr>
              <w:t>本計畫</w:t>
            </w:r>
            <w:r w:rsidRPr="00091C72">
              <w:rPr>
                <w:rFonts w:ascii="標楷體" w:eastAsia="標楷體" w:hAnsi="標楷體" w:hint="eastAsia"/>
                <w:color w:val="FF0000"/>
                <w:sz w:val="28"/>
                <w:szCs w:val="28"/>
              </w:rPr>
              <w:t>因擴大開挖捷運連通道、變電所外線供電方式改變</w:t>
            </w:r>
            <w:r>
              <w:rPr>
                <w:rFonts w:ascii="標楷體" w:eastAsia="標楷體" w:hAnsi="標楷體" w:hint="eastAsia"/>
                <w:sz w:val="28"/>
                <w:szCs w:val="28"/>
              </w:rPr>
              <w:t>，</w:t>
            </w:r>
            <w:proofErr w:type="gramStart"/>
            <w:r>
              <w:rPr>
                <w:rFonts w:ascii="標楷體" w:eastAsia="標楷體" w:hAnsi="標楷體" w:hint="eastAsia"/>
                <w:sz w:val="28"/>
                <w:szCs w:val="28"/>
              </w:rPr>
              <w:t>惟估驗</w:t>
            </w:r>
            <w:proofErr w:type="gramEnd"/>
            <w:r>
              <w:rPr>
                <w:rFonts w:ascii="標楷體" w:eastAsia="標楷體" w:hAnsi="標楷體" w:hint="eastAsia"/>
                <w:sz w:val="28"/>
                <w:szCs w:val="28"/>
              </w:rPr>
              <w:t>計價付款方式卻以原計畫、原契約之里程碑、</w:t>
            </w:r>
            <w:r w:rsidRPr="00091C72">
              <w:rPr>
                <w:rFonts w:ascii="標楷體" w:eastAsia="標楷體" w:hAnsi="標楷體" w:hint="eastAsia"/>
                <w:color w:val="FF0000"/>
                <w:sz w:val="28"/>
                <w:szCs w:val="28"/>
              </w:rPr>
              <w:t>金額</w:t>
            </w:r>
            <w:r>
              <w:rPr>
                <w:rFonts w:ascii="標楷體" w:eastAsia="標楷體" w:hAnsi="標楷體" w:hint="eastAsia"/>
                <w:sz w:val="28"/>
                <w:szCs w:val="28"/>
              </w:rPr>
              <w:t>辦理，致統包商無經費可支付外線費用，經協處修正計畫、變更設計，使工程順利推動。</w:t>
            </w:r>
          </w:p>
        </w:tc>
      </w:tr>
      <w:tr w:rsidR="00BD42AD" w:rsidRPr="00EB71B8" w:rsidTr="00F8411C">
        <w:trPr>
          <w:trHeight w:val="2255"/>
        </w:trPr>
        <w:tc>
          <w:tcPr>
            <w:tcW w:w="851" w:type="dxa"/>
            <w:vAlign w:val="center"/>
          </w:tcPr>
          <w:p w:rsidR="00BD42AD" w:rsidRPr="00EB71B8" w:rsidRDefault="00BD42AD" w:rsidP="00DC0EFB">
            <w:pPr>
              <w:spacing w:line="300" w:lineRule="exact"/>
              <w:jc w:val="center"/>
              <w:rPr>
                <w:rFonts w:ascii="標楷體" w:eastAsia="標楷體" w:hAnsi="標楷體"/>
                <w:sz w:val="28"/>
                <w:szCs w:val="28"/>
              </w:rPr>
            </w:pPr>
            <w:r w:rsidRPr="00EB71B8">
              <w:rPr>
                <w:rFonts w:ascii="標楷體" w:eastAsia="標楷體" w:hAnsi="標楷體" w:hint="eastAsia"/>
                <w:sz w:val="28"/>
                <w:szCs w:val="28"/>
              </w:rPr>
              <w:t>具體</w:t>
            </w:r>
          </w:p>
          <w:p w:rsidR="00BD42AD" w:rsidRPr="00EB71B8" w:rsidRDefault="00BD42AD" w:rsidP="00DC0EFB">
            <w:pPr>
              <w:spacing w:line="300" w:lineRule="exact"/>
              <w:jc w:val="center"/>
              <w:rPr>
                <w:rFonts w:ascii="標楷體" w:eastAsia="標楷體" w:hAnsi="標楷體"/>
                <w:sz w:val="28"/>
                <w:szCs w:val="28"/>
              </w:rPr>
            </w:pPr>
            <w:r w:rsidRPr="00EB71B8">
              <w:rPr>
                <w:rFonts w:ascii="標楷體" w:eastAsia="標楷體" w:hAnsi="標楷體" w:hint="eastAsia"/>
                <w:sz w:val="28"/>
                <w:szCs w:val="28"/>
              </w:rPr>
              <w:t>案情</w:t>
            </w:r>
          </w:p>
        </w:tc>
        <w:tc>
          <w:tcPr>
            <w:tcW w:w="8930" w:type="dxa"/>
            <w:gridSpan w:val="2"/>
          </w:tcPr>
          <w:p w:rsidR="00BD42AD" w:rsidRPr="00EB71B8" w:rsidRDefault="002E0A6C" w:rsidP="001F4EAE">
            <w:pPr>
              <w:pStyle w:val="a8"/>
              <w:numPr>
                <w:ilvl w:val="0"/>
                <w:numId w:val="1"/>
              </w:numPr>
              <w:spacing w:line="320" w:lineRule="exact"/>
              <w:ind w:leftChars="0" w:left="601" w:hanging="601"/>
              <w:jc w:val="both"/>
              <w:rPr>
                <w:rFonts w:ascii="標楷體" w:eastAsia="標楷體" w:hAnsi="標楷體" w:cs="Times New Roman"/>
                <w:sz w:val="28"/>
                <w:szCs w:val="28"/>
              </w:rPr>
            </w:pPr>
            <w:r w:rsidRPr="003F0C9B">
              <w:rPr>
                <w:rFonts w:ascii="標楷體" w:eastAsia="標楷體" w:hAnsi="標楷體" w:hint="eastAsia"/>
                <w:b/>
                <w:color w:val="FF0000"/>
                <w:sz w:val="28"/>
                <w:szCs w:val="28"/>
              </w:rPr>
              <w:t>擴大開挖捷運連通道</w:t>
            </w:r>
            <w:r>
              <w:rPr>
                <w:rFonts w:ascii="標楷體" w:eastAsia="標楷體" w:hAnsi="標楷體" w:hint="eastAsia"/>
                <w:b/>
                <w:color w:val="FF0000"/>
                <w:sz w:val="28"/>
                <w:szCs w:val="28"/>
              </w:rPr>
              <w:t>:</w:t>
            </w:r>
            <w:r w:rsidRPr="009E0A97">
              <w:rPr>
                <w:rFonts w:ascii="標楷體" w:eastAsia="標楷體" w:hAnsi="標楷體" w:hint="eastAsia"/>
                <w:sz w:val="28"/>
                <w:szCs w:val="28"/>
              </w:rPr>
              <w:t>本案</w:t>
            </w:r>
            <w:r>
              <w:rPr>
                <w:rFonts w:ascii="標楷體" w:eastAsia="標楷體" w:hAnsi="標楷體" w:hint="eastAsia"/>
                <w:sz w:val="28"/>
                <w:szCs w:val="28"/>
              </w:rPr>
              <w:t>為</w:t>
            </w:r>
            <w:r w:rsidRPr="009E0A97">
              <w:rPr>
                <w:rFonts w:ascii="標楷體" w:eastAsia="標楷體" w:hAnsi="標楷體" w:hint="eastAsia"/>
                <w:sz w:val="28"/>
                <w:szCs w:val="28"/>
              </w:rPr>
              <w:t>統包工程，因變更設計擴大開挖捷運連通道，造成部分樓面區域未能施作</w:t>
            </w:r>
            <w:r>
              <w:rPr>
                <w:rFonts w:ascii="標楷體" w:eastAsia="標楷體" w:hAnsi="標楷體" w:hint="eastAsia"/>
                <w:sz w:val="28"/>
                <w:szCs w:val="28"/>
              </w:rPr>
              <w:t>，</w:t>
            </w:r>
            <w:r w:rsidRPr="009E0A97">
              <w:rPr>
                <w:rFonts w:ascii="標楷體" w:eastAsia="標楷體" w:hAnsi="標楷體" w:hint="eastAsia"/>
                <w:sz w:val="28"/>
                <w:szCs w:val="28"/>
              </w:rPr>
              <w:t>而無法依原契約里程碑計價。94年11月</w:t>
            </w:r>
            <w:r>
              <w:rPr>
                <w:rFonts w:ascii="標楷體" w:eastAsia="標楷體" w:hAnsi="標楷體" w:hint="eastAsia"/>
                <w:sz w:val="28"/>
                <w:szCs w:val="28"/>
              </w:rPr>
              <w:t>至95年8月間</w:t>
            </w:r>
            <w:proofErr w:type="gramStart"/>
            <w:r w:rsidRPr="009E0A97">
              <w:rPr>
                <w:rFonts w:ascii="標楷體" w:eastAsia="標楷體" w:hAnsi="標楷體" w:hint="eastAsia"/>
                <w:sz w:val="28"/>
                <w:szCs w:val="28"/>
              </w:rPr>
              <w:t>研</w:t>
            </w:r>
            <w:proofErr w:type="gramEnd"/>
            <w:r w:rsidRPr="009E0A97">
              <w:rPr>
                <w:rFonts w:ascii="標楷體" w:eastAsia="標楷體" w:hAnsi="標楷體" w:hint="eastAsia"/>
                <w:sz w:val="28"/>
                <w:szCs w:val="28"/>
              </w:rPr>
              <w:t>議變更付款方式，惟營建署認為恐有違採購公平原則，決議依原契約規定辦理。</w:t>
            </w:r>
            <w:r>
              <w:rPr>
                <w:rFonts w:ascii="標楷體" w:eastAsia="標楷體" w:hAnsi="標楷體" w:hint="eastAsia"/>
                <w:sz w:val="28"/>
                <w:szCs w:val="28"/>
              </w:rPr>
              <w:t>截至95年7月底</w:t>
            </w:r>
            <w:proofErr w:type="gramStart"/>
            <w:r>
              <w:rPr>
                <w:rFonts w:ascii="標楷體" w:eastAsia="標楷體" w:hAnsi="標楷體" w:hint="eastAsia"/>
                <w:sz w:val="28"/>
                <w:szCs w:val="28"/>
              </w:rPr>
              <w:t>止</w:t>
            </w:r>
            <w:proofErr w:type="gramEnd"/>
            <w:r>
              <w:rPr>
                <w:rFonts w:ascii="標楷體" w:eastAsia="標楷體" w:hAnsi="標楷體" w:hint="eastAsia"/>
                <w:sz w:val="28"/>
                <w:szCs w:val="28"/>
              </w:rPr>
              <w:t>工程進度31.69%，惟工程款僅支付12.05%，致統包商因財務壓力影響</w:t>
            </w:r>
            <w:proofErr w:type="gramStart"/>
            <w:r>
              <w:rPr>
                <w:rFonts w:ascii="標楷體" w:eastAsia="標楷體" w:hAnsi="標楷體" w:hint="eastAsia"/>
                <w:sz w:val="28"/>
                <w:szCs w:val="28"/>
              </w:rPr>
              <w:t>後續工進</w:t>
            </w:r>
            <w:proofErr w:type="gramEnd"/>
            <w:r>
              <w:rPr>
                <w:rFonts w:ascii="標楷體" w:eastAsia="標楷體" w:hAnsi="標楷體" w:hint="eastAsia"/>
                <w:sz w:val="28"/>
                <w:szCs w:val="28"/>
              </w:rPr>
              <w:t>。</w:t>
            </w:r>
          </w:p>
          <w:p w:rsidR="00BD42AD" w:rsidRPr="002E0A6C" w:rsidRDefault="002E0A6C" w:rsidP="002E0A6C">
            <w:pPr>
              <w:pStyle w:val="a8"/>
              <w:numPr>
                <w:ilvl w:val="0"/>
                <w:numId w:val="1"/>
              </w:numPr>
              <w:spacing w:line="320" w:lineRule="exact"/>
              <w:ind w:leftChars="0" w:left="601" w:hanging="601"/>
              <w:jc w:val="both"/>
              <w:rPr>
                <w:rFonts w:ascii="標楷體" w:eastAsia="標楷體" w:hAnsi="標楷體" w:cs="Times New Roman"/>
                <w:sz w:val="28"/>
                <w:szCs w:val="28"/>
              </w:rPr>
            </w:pPr>
            <w:r w:rsidRPr="003F0C9B">
              <w:rPr>
                <w:rFonts w:ascii="標楷體" w:eastAsia="標楷體" w:hAnsi="標楷體" w:hint="eastAsia"/>
                <w:b/>
                <w:color w:val="FF0000"/>
                <w:sz w:val="28"/>
                <w:szCs w:val="28"/>
              </w:rPr>
              <w:t>變電所外線供電方式改變</w:t>
            </w:r>
            <w:r>
              <w:rPr>
                <w:rFonts w:ascii="標楷體" w:eastAsia="標楷體" w:hAnsi="標楷體" w:hint="eastAsia"/>
                <w:b/>
                <w:color w:val="FF0000"/>
                <w:sz w:val="28"/>
                <w:szCs w:val="28"/>
              </w:rPr>
              <w:t>:</w:t>
            </w:r>
            <w:r>
              <w:rPr>
                <w:rFonts w:ascii="標楷體" w:eastAsia="標楷體" w:hAnsi="標楷體" w:hint="eastAsia"/>
                <w:sz w:val="28"/>
                <w:szCs w:val="28"/>
              </w:rPr>
              <w:t>本案用電規劃原為單一變電所提供雙迴路(經費約4</w:t>
            </w:r>
            <w:proofErr w:type="gramStart"/>
            <w:r>
              <w:rPr>
                <w:rFonts w:ascii="標楷體" w:eastAsia="標楷體" w:hAnsi="標楷體" w:hint="eastAsia"/>
                <w:sz w:val="28"/>
                <w:szCs w:val="28"/>
              </w:rPr>
              <w:t>千萬</w:t>
            </w:r>
            <w:proofErr w:type="gramEnd"/>
            <w:r>
              <w:rPr>
                <w:rFonts w:ascii="標楷體" w:eastAsia="標楷體" w:hAnsi="標楷體" w:hint="eastAsia"/>
                <w:sz w:val="28"/>
                <w:szCs w:val="28"/>
              </w:rPr>
              <w:t>)，惟申請送電時，因整體電網配置及穩定供電安全考量，台電變更為雙變電所提供雙迴路(經費約7</w:t>
            </w:r>
            <w:proofErr w:type="gramStart"/>
            <w:r>
              <w:rPr>
                <w:rFonts w:ascii="標楷體" w:eastAsia="標楷體" w:hAnsi="標楷體" w:hint="eastAsia"/>
                <w:sz w:val="28"/>
                <w:szCs w:val="28"/>
              </w:rPr>
              <w:t>千萬</w:t>
            </w:r>
            <w:proofErr w:type="gramEnd"/>
            <w:r>
              <w:rPr>
                <w:rFonts w:ascii="標楷體" w:eastAsia="標楷體" w:hAnsi="標楷體" w:hint="eastAsia"/>
                <w:sz w:val="28"/>
                <w:szCs w:val="28"/>
              </w:rPr>
              <w:t>)，然計畫及契約金額未修正，致無法完成外線接線工作。</w:t>
            </w:r>
          </w:p>
        </w:tc>
      </w:tr>
      <w:tr w:rsidR="00BD42AD" w:rsidRPr="00EB71B8" w:rsidTr="00040408">
        <w:trPr>
          <w:trHeight w:val="3094"/>
        </w:trPr>
        <w:tc>
          <w:tcPr>
            <w:tcW w:w="851" w:type="dxa"/>
            <w:vAlign w:val="center"/>
          </w:tcPr>
          <w:p w:rsidR="00BD42AD" w:rsidRPr="00EB71B8" w:rsidRDefault="00BD42AD" w:rsidP="00DC0EFB">
            <w:pPr>
              <w:spacing w:line="300" w:lineRule="exact"/>
              <w:jc w:val="center"/>
              <w:rPr>
                <w:rFonts w:ascii="標楷體" w:eastAsia="標楷體" w:hAnsi="標楷體"/>
                <w:sz w:val="28"/>
                <w:szCs w:val="28"/>
              </w:rPr>
            </w:pPr>
            <w:r w:rsidRPr="00EB71B8">
              <w:rPr>
                <w:rFonts w:ascii="標楷體" w:eastAsia="標楷體" w:hAnsi="標楷體" w:hint="eastAsia"/>
                <w:sz w:val="28"/>
                <w:szCs w:val="28"/>
              </w:rPr>
              <w:t>具體</w:t>
            </w:r>
          </w:p>
          <w:p w:rsidR="00BD42AD" w:rsidRPr="00EB71B8" w:rsidRDefault="00BD42AD" w:rsidP="00DC0EFB">
            <w:pPr>
              <w:spacing w:line="300" w:lineRule="exact"/>
              <w:jc w:val="center"/>
              <w:rPr>
                <w:rFonts w:ascii="標楷體" w:eastAsia="標楷體" w:hAnsi="標楷體"/>
                <w:sz w:val="28"/>
                <w:szCs w:val="28"/>
              </w:rPr>
            </w:pPr>
            <w:r w:rsidRPr="00EB71B8">
              <w:rPr>
                <w:rFonts w:ascii="標楷體" w:eastAsia="標楷體" w:hAnsi="標楷體" w:hint="eastAsia"/>
                <w:sz w:val="28"/>
                <w:szCs w:val="28"/>
              </w:rPr>
              <w:t>作法</w:t>
            </w:r>
          </w:p>
        </w:tc>
        <w:tc>
          <w:tcPr>
            <w:tcW w:w="8930" w:type="dxa"/>
            <w:gridSpan w:val="2"/>
          </w:tcPr>
          <w:p w:rsidR="002E0A6C" w:rsidRDefault="002E0A6C" w:rsidP="002E0A6C">
            <w:pPr>
              <w:numPr>
                <w:ilvl w:val="0"/>
                <w:numId w:val="12"/>
              </w:numPr>
              <w:spacing w:line="400" w:lineRule="exact"/>
              <w:ind w:left="459" w:hanging="567"/>
              <w:jc w:val="both"/>
              <w:rPr>
                <w:rFonts w:ascii="標楷體" w:eastAsia="標楷體" w:hAnsi="標楷體" w:hint="eastAsia"/>
                <w:color w:val="000000"/>
                <w:sz w:val="28"/>
                <w:szCs w:val="28"/>
              </w:rPr>
            </w:pPr>
            <w:r w:rsidRPr="003F0C9B">
              <w:rPr>
                <w:rFonts w:ascii="標楷體" w:eastAsia="標楷體" w:hAnsi="標楷體" w:hint="eastAsia"/>
                <w:b/>
                <w:color w:val="000000"/>
                <w:sz w:val="28"/>
                <w:szCs w:val="28"/>
              </w:rPr>
              <w:t>調整估驗方式</w:t>
            </w:r>
            <w:r>
              <w:rPr>
                <w:rFonts w:ascii="標楷體" w:eastAsia="標楷體" w:hAnsi="標楷體" w:hint="eastAsia"/>
                <w:b/>
                <w:color w:val="000000"/>
                <w:sz w:val="28"/>
                <w:szCs w:val="28"/>
              </w:rPr>
              <w:t>:</w:t>
            </w:r>
            <w:r w:rsidRPr="003F0C9B">
              <w:rPr>
                <w:rFonts w:ascii="標楷體" w:eastAsia="標楷體" w:hAnsi="標楷體" w:hint="eastAsia"/>
                <w:color w:val="000000"/>
                <w:sz w:val="28"/>
                <w:szCs w:val="28"/>
              </w:rPr>
              <w:t>經協商認定因擴大開挖捷運連通道不可抗力因素而影響之區域暫緩估驗，其餘區域依契約辦理估驗計價。</w:t>
            </w:r>
          </w:p>
          <w:p w:rsidR="002E0A6C" w:rsidRPr="003F0C9B" w:rsidRDefault="002E0A6C" w:rsidP="002E0A6C">
            <w:pPr>
              <w:numPr>
                <w:ilvl w:val="0"/>
                <w:numId w:val="12"/>
              </w:numPr>
              <w:spacing w:line="400" w:lineRule="exact"/>
              <w:ind w:left="459" w:hanging="567"/>
              <w:jc w:val="both"/>
              <w:rPr>
                <w:rFonts w:ascii="標楷體" w:eastAsia="標楷體" w:hAnsi="標楷體" w:hint="eastAsia"/>
                <w:color w:val="000000"/>
                <w:sz w:val="28"/>
                <w:szCs w:val="28"/>
              </w:rPr>
            </w:pPr>
            <w:r w:rsidRPr="003F0C9B">
              <w:rPr>
                <w:rFonts w:ascii="標楷體" w:eastAsia="標楷體" w:hAnsi="標楷體" w:hint="eastAsia"/>
                <w:b/>
                <w:color w:val="000000"/>
                <w:sz w:val="28"/>
                <w:szCs w:val="28"/>
              </w:rPr>
              <w:t>修正計畫:</w:t>
            </w:r>
            <w:r w:rsidRPr="003F0C9B">
              <w:rPr>
                <w:rFonts w:ascii="標楷體" w:eastAsia="標楷體" w:hAnsi="標楷體" w:hint="eastAsia"/>
                <w:color w:val="000000"/>
                <w:sz w:val="28"/>
                <w:szCs w:val="28"/>
              </w:rPr>
              <w:t>變電所</w:t>
            </w:r>
            <w:proofErr w:type="gramStart"/>
            <w:r w:rsidRPr="003F0C9B">
              <w:rPr>
                <w:rFonts w:ascii="標楷體" w:eastAsia="標楷體" w:hAnsi="標楷體" w:hint="eastAsia"/>
                <w:color w:val="000000"/>
                <w:sz w:val="28"/>
                <w:szCs w:val="28"/>
              </w:rPr>
              <w:t>問題亦協處</w:t>
            </w:r>
            <w:proofErr w:type="gramEnd"/>
            <w:r w:rsidRPr="003F0C9B">
              <w:rPr>
                <w:rFonts w:ascii="標楷體" w:eastAsia="標楷體" w:hAnsi="標楷體" w:hint="eastAsia"/>
                <w:color w:val="000000"/>
                <w:sz w:val="28"/>
                <w:szCs w:val="28"/>
              </w:rPr>
              <w:t>請營建署修正計畫，並請台電公司先行送電，使展覽館可即時營運。</w:t>
            </w:r>
          </w:p>
          <w:p w:rsidR="00BD42AD" w:rsidRPr="00EB71B8" w:rsidRDefault="002E0A6C" w:rsidP="002E0A6C">
            <w:pPr>
              <w:numPr>
                <w:ilvl w:val="0"/>
                <w:numId w:val="12"/>
              </w:numPr>
              <w:spacing w:line="400" w:lineRule="exact"/>
              <w:ind w:left="459" w:hanging="567"/>
              <w:jc w:val="both"/>
              <w:rPr>
                <w:rFonts w:ascii="標楷體" w:eastAsia="標楷體" w:hAnsi="標楷體" w:cs="Times New Roman"/>
                <w:sz w:val="28"/>
                <w:szCs w:val="28"/>
              </w:rPr>
            </w:pPr>
            <w:r>
              <w:rPr>
                <w:rFonts w:ascii="標楷體" w:eastAsia="標楷體" w:hAnsi="標楷體" w:hint="eastAsia"/>
                <w:sz w:val="28"/>
                <w:szCs w:val="28"/>
              </w:rPr>
              <w:t>爾後</w:t>
            </w:r>
            <w:r w:rsidRPr="00583C30">
              <w:rPr>
                <w:rFonts w:ascii="標楷體" w:eastAsia="標楷體" w:hAnsi="標楷體" w:hint="eastAsia"/>
                <w:sz w:val="28"/>
                <w:szCs w:val="28"/>
              </w:rPr>
              <w:t>類似案件，</w:t>
            </w:r>
            <w:r>
              <w:rPr>
                <w:rFonts w:ascii="標楷體" w:eastAsia="標楷體" w:hAnsi="標楷體" w:hint="eastAsia"/>
                <w:sz w:val="28"/>
                <w:szCs w:val="28"/>
              </w:rPr>
              <w:t>應依工程實際遭遇狀況</w:t>
            </w:r>
            <w:r w:rsidRPr="009D3099">
              <w:rPr>
                <w:rFonts w:ascii="標楷體" w:eastAsia="標楷體" w:hAnsi="標楷體" w:hint="eastAsia"/>
                <w:sz w:val="28"/>
                <w:szCs w:val="28"/>
              </w:rPr>
              <w:t>適時調整</w:t>
            </w:r>
            <w:r>
              <w:rPr>
                <w:rFonts w:ascii="標楷體" w:eastAsia="標楷體" w:hAnsi="標楷體" w:hint="eastAsia"/>
                <w:sz w:val="28"/>
                <w:szCs w:val="28"/>
              </w:rPr>
              <w:t>，避免因不可抗力或非可歸責廠商因素，仍拘泥契約規定而影響工程進度</w:t>
            </w:r>
            <w:r w:rsidRPr="00583C30">
              <w:rPr>
                <w:rFonts w:ascii="標楷體" w:eastAsia="標楷體" w:hAnsi="標楷體" w:hint="eastAsia"/>
                <w:sz w:val="28"/>
                <w:szCs w:val="28"/>
              </w:rPr>
              <w:t>。</w:t>
            </w:r>
          </w:p>
        </w:tc>
      </w:tr>
      <w:tr w:rsidR="0009279E" w:rsidRPr="00FF04DF" w:rsidTr="0009279E">
        <w:trPr>
          <w:trHeight w:val="71"/>
        </w:trPr>
        <w:tc>
          <w:tcPr>
            <w:tcW w:w="9781" w:type="dxa"/>
            <w:gridSpan w:val="3"/>
            <w:vAlign w:val="center"/>
          </w:tcPr>
          <w:p w:rsidR="0009279E" w:rsidRPr="00FF04DF" w:rsidRDefault="0009279E" w:rsidP="00EB3C83">
            <w:pPr>
              <w:spacing w:line="320" w:lineRule="exact"/>
              <w:rPr>
                <w:rFonts w:ascii="標楷體" w:eastAsia="標楷體" w:hAnsi="標楷體" w:cs="Times New Roman"/>
                <w:sz w:val="28"/>
                <w:szCs w:val="28"/>
              </w:rPr>
            </w:pPr>
            <w:proofErr w:type="gramStart"/>
            <w:r>
              <w:rPr>
                <w:rFonts w:ascii="標楷體" w:eastAsia="標楷體" w:hAnsi="標楷體" w:cs="Times New Roman" w:hint="eastAsia"/>
                <w:sz w:val="28"/>
                <w:szCs w:val="28"/>
              </w:rPr>
              <w:t>＊</w:t>
            </w:r>
            <w:proofErr w:type="gramEnd"/>
            <w:r>
              <w:rPr>
                <w:rFonts w:ascii="標楷體" w:eastAsia="標楷體" w:hAnsi="標楷體" w:cs="Times New Roman" w:hint="eastAsia"/>
                <w:sz w:val="28"/>
                <w:szCs w:val="28"/>
              </w:rPr>
              <w:t>相關照片</w:t>
            </w:r>
            <w:r w:rsidR="00EB3C83">
              <w:rPr>
                <w:rFonts w:ascii="標楷體" w:eastAsia="標楷體" w:hAnsi="標楷體" w:cs="Times New Roman" w:hint="eastAsia"/>
                <w:sz w:val="28"/>
                <w:szCs w:val="28"/>
              </w:rPr>
              <w:t>或圖說</w:t>
            </w:r>
          </w:p>
        </w:tc>
      </w:tr>
      <w:tr w:rsidR="0009279E" w:rsidRPr="00FF04DF" w:rsidTr="00EF6BF7">
        <w:trPr>
          <w:trHeight w:val="1266"/>
        </w:trPr>
        <w:tc>
          <w:tcPr>
            <w:tcW w:w="4890" w:type="dxa"/>
            <w:gridSpan w:val="2"/>
            <w:vAlign w:val="center"/>
          </w:tcPr>
          <w:p w:rsidR="00252E70" w:rsidRPr="00FF04DF" w:rsidRDefault="002E0A6C" w:rsidP="002E0A6C">
            <w:pPr>
              <w:rPr>
                <w:rFonts w:ascii="標楷體" w:eastAsia="標楷體" w:hAnsi="標楷體" w:cs="Times New Roman"/>
                <w:sz w:val="28"/>
                <w:szCs w:val="28"/>
              </w:rPr>
            </w:pPr>
            <w:r>
              <w:rPr>
                <w:noProof/>
              </w:rPr>
              <w:lastRenderedPageBreak/>
              <w:drawing>
                <wp:inline distT="0" distB="0" distL="0" distR="0">
                  <wp:extent cx="2924738" cy="2190307"/>
                  <wp:effectExtent l="19050" t="0" r="8962" b="0"/>
                  <wp:docPr id="1" name="圖片 1" descr="3.南港軟體園區1期.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南港軟體園區1期.JPG"/>
                          <pic:cNvPicPr>
                            <a:picLocks noChangeAspect="1" noChangeArrowheads="1"/>
                          </pic:cNvPicPr>
                        </pic:nvPicPr>
                        <pic:blipFill>
                          <a:blip r:embed="rId7"/>
                          <a:srcRect/>
                          <a:stretch>
                            <a:fillRect/>
                          </a:stretch>
                        </pic:blipFill>
                        <pic:spPr bwMode="auto">
                          <a:xfrm>
                            <a:off x="0" y="0"/>
                            <a:ext cx="2930995" cy="2194993"/>
                          </a:xfrm>
                          <a:prstGeom prst="rect">
                            <a:avLst/>
                          </a:prstGeom>
                          <a:noFill/>
                          <a:ln w="9525">
                            <a:noFill/>
                            <a:miter lim="800000"/>
                            <a:headEnd/>
                            <a:tailEnd/>
                          </a:ln>
                        </pic:spPr>
                      </pic:pic>
                    </a:graphicData>
                  </a:graphic>
                </wp:inline>
              </w:drawing>
            </w:r>
          </w:p>
        </w:tc>
        <w:tc>
          <w:tcPr>
            <w:tcW w:w="4891" w:type="dxa"/>
            <w:vAlign w:val="center"/>
          </w:tcPr>
          <w:p w:rsidR="0009279E" w:rsidRPr="00FF04DF" w:rsidRDefault="0009279E" w:rsidP="0009279E">
            <w:pPr>
              <w:jc w:val="both"/>
              <w:rPr>
                <w:rFonts w:ascii="標楷體" w:eastAsia="標楷體" w:hAnsi="標楷體" w:cs="Times New Roman"/>
                <w:sz w:val="28"/>
                <w:szCs w:val="28"/>
              </w:rPr>
            </w:pPr>
          </w:p>
        </w:tc>
      </w:tr>
    </w:tbl>
    <w:p w:rsidR="00EB71B8" w:rsidRPr="008D2828" w:rsidRDefault="001E34D6" w:rsidP="001E34D6">
      <w:pPr>
        <w:jc w:val="right"/>
        <w:rPr>
          <w:rFonts w:ascii="標楷體" w:eastAsia="標楷體" w:hAnsi="標楷體" w:cs="Times New Roman"/>
          <w:szCs w:val="28"/>
        </w:rPr>
        <w:sectPr w:rsidR="00EB71B8" w:rsidRPr="008D2828" w:rsidSect="000E71CD">
          <w:pgSz w:w="11906" w:h="16838"/>
          <w:pgMar w:top="1440" w:right="1080" w:bottom="1440" w:left="1080" w:header="851" w:footer="992" w:gutter="0"/>
          <w:cols w:space="425"/>
          <w:docGrid w:type="lines" w:linePitch="360"/>
        </w:sectPr>
      </w:pPr>
      <w:r w:rsidRPr="008D2828">
        <w:rPr>
          <w:rFonts w:ascii="標楷體" w:eastAsia="標楷體" w:hAnsi="標楷體" w:cs="Times New Roman" w:hint="eastAsia"/>
          <w:szCs w:val="28"/>
        </w:rPr>
        <w:t>提報單位：</w:t>
      </w:r>
      <w:r w:rsidR="00045040">
        <w:rPr>
          <w:rFonts w:ascii="標楷體" w:eastAsia="標楷體" w:hAnsi="標楷體" w:cs="Times New Roman" w:hint="eastAsia"/>
          <w:szCs w:val="28"/>
        </w:rPr>
        <w:t>工</w:t>
      </w:r>
    </w:p>
    <w:p w:rsidR="00EB71B8" w:rsidRPr="00EB71B8" w:rsidRDefault="00EB71B8" w:rsidP="00045040">
      <w:pPr>
        <w:spacing w:line="360" w:lineRule="exact"/>
        <w:rPr>
          <w:rFonts w:ascii="標楷體" w:eastAsia="標楷體" w:hAnsi="標楷體" w:cs="Times New Roman"/>
          <w:color w:val="FF0000"/>
          <w:sz w:val="32"/>
          <w:szCs w:val="28"/>
        </w:rPr>
      </w:pPr>
    </w:p>
    <w:sectPr w:rsidR="00EB71B8" w:rsidRPr="00EB71B8" w:rsidSect="000E71CD">
      <w:pgSz w:w="11906" w:h="16838"/>
      <w:pgMar w:top="1440" w:right="1080" w:bottom="1440" w:left="108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052C" w:rsidRDefault="004D052C" w:rsidP="00893846">
      <w:r>
        <w:separator/>
      </w:r>
    </w:p>
  </w:endnote>
  <w:endnote w:type="continuationSeparator" w:id="1">
    <w:p w:rsidR="004D052C" w:rsidRDefault="004D052C" w:rsidP="008938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052C" w:rsidRDefault="004D052C" w:rsidP="00893846">
      <w:r>
        <w:separator/>
      </w:r>
    </w:p>
  </w:footnote>
  <w:footnote w:type="continuationSeparator" w:id="1">
    <w:p w:rsidR="004D052C" w:rsidRDefault="004D052C" w:rsidP="008938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0673E"/>
    <w:multiLevelType w:val="hybridMultilevel"/>
    <w:tmpl w:val="60C4D06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8C16836"/>
    <w:multiLevelType w:val="hybridMultilevel"/>
    <w:tmpl w:val="60C4D06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C1627D7"/>
    <w:multiLevelType w:val="hybridMultilevel"/>
    <w:tmpl w:val="AC223E28"/>
    <w:lvl w:ilvl="0" w:tplc="66D090A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453453C"/>
    <w:multiLevelType w:val="hybridMultilevel"/>
    <w:tmpl w:val="F0CC4308"/>
    <w:lvl w:ilvl="0" w:tplc="2B5E22D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9B50269"/>
    <w:multiLevelType w:val="hybridMultilevel"/>
    <w:tmpl w:val="2E526346"/>
    <w:lvl w:ilvl="0" w:tplc="B344EFC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810649A"/>
    <w:multiLevelType w:val="hybridMultilevel"/>
    <w:tmpl w:val="F0DCAFFE"/>
    <w:lvl w:ilvl="0" w:tplc="B344EFC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61FD754B"/>
    <w:multiLevelType w:val="hybridMultilevel"/>
    <w:tmpl w:val="55F06B18"/>
    <w:lvl w:ilvl="0" w:tplc="2B5E22D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65634AFA"/>
    <w:multiLevelType w:val="hybridMultilevel"/>
    <w:tmpl w:val="ABCA0EF8"/>
    <w:lvl w:ilvl="0" w:tplc="BA6C4CB6">
      <w:start w:val="1"/>
      <w:numFmt w:val="taiwaneseCountingThousand"/>
      <w:suff w:val="space"/>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676B4C3B"/>
    <w:multiLevelType w:val="hybridMultilevel"/>
    <w:tmpl w:val="2E526346"/>
    <w:lvl w:ilvl="0" w:tplc="B344EFC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6CA003F9"/>
    <w:multiLevelType w:val="hybridMultilevel"/>
    <w:tmpl w:val="CC2C3C48"/>
    <w:lvl w:ilvl="0" w:tplc="73588458">
      <w:start w:val="1"/>
      <w:numFmt w:val="taiwaneseCountingThousand"/>
      <w:lvlText w:val="%1、"/>
      <w:lvlJc w:val="left"/>
      <w:pPr>
        <w:ind w:left="1287" w:hanging="720"/>
      </w:pPr>
      <w:rPr>
        <w:rFonts w:ascii="標楷體" w:eastAsia="標楷體" w:hAnsi="標楷體" w:hint="default"/>
      </w:rPr>
    </w:lvl>
    <w:lvl w:ilvl="1" w:tplc="A5E6E632">
      <w:start w:val="1"/>
      <w:numFmt w:val="taiwaneseCountingThousand"/>
      <w:suff w:val="nothing"/>
      <w:lvlText w:val="(%2)"/>
      <w:lvlJc w:val="left"/>
      <w:pPr>
        <w:ind w:left="1386" w:hanging="480"/>
      </w:pPr>
      <w:rPr>
        <w:rFonts w:hint="eastAsia"/>
      </w:r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0">
    <w:nsid w:val="73D75CA9"/>
    <w:multiLevelType w:val="hybridMultilevel"/>
    <w:tmpl w:val="AC223E28"/>
    <w:lvl w:ilvl="0" w:tplc="66D090A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7E21199C"/>
    <w:multiLevelType w:val="hybridMultilevel"/>
    <w:tmpl w:val="F0CC4308"/>
    <w:lvl w:ilvl="0" w:tplc="2B5E22D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8"/>
  </w:num>
  <w:num w:numId="3">
    <w:abstractNumId w:val="3"/>
  </w:num>
  <w:num w:numId="4">
    <w:abstractNumId w:val="10"/>
  </w:num>
  <w:num w:numId="5">
    <w:abstractNumId w:val="0"/>
  </w:num>
  <w:num w:numId="6">
    <w:abstractNumId w:val="6"/>
  </w:num>
  <w:num w:numId="7">
    <w:abstractNumId w:val="5"/>
  </w:num>
  <w:num w:numId="8">
    <w:abstractNumId w:val="2"/>
  </w:num>
  <w:num w:numId="9">
    <w:abstractNumId w:val="4"/>
  </w:num>
  <w:num w:numId="10">
    <w:abstractNumId w:val="11"/>
  </w:num>
  <w:num w:numId="11">
    <w:abstractNumId w:val="7"/>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93846"/>
    <w:rsid w:val="00030F30"/>
    <w:rsid w:val="0004020F"/>
    <w:rsid w:val="00040408"/>
    <w:rsid w:val="00045040"/>
    <w:rsid w:val="00046CC5"/>
    <w:rsid w:val="0009279E"/>
    <w:rsid w:val="000E71CD"/>
    <w:rsid w:val="00101248"/>
    <w:rsid w:val="001131EA"/>
    <w:rsid w:val="00136AEC"/>
    <w:rsid w:val="00162D7E"/>
    <w:rsid w:val="00167BAB"/>
    <w:rsid w:val="001D5234"/>
    <w:rsid w:val="001E34D6"/>
    <w:rsid w:val="001F4EAE"/>
    <w:rsid w:val="00252E70"/>
    <w:rsid w:val="00254C4E"/>
    <w:rsid w:val="002E039D"/>
    <w:rsid w:val="002E0A6C"/>
    <w:rsid w:val="002E19DF"/>
    <w:rsid w:val="002E61E4"/>
    <w:rsid w:val="00302D34"/>
    <w:rsid w:val="00311288"/>
    <w:rsid w:val="00317830"/>
    <w:rsid w:val="00326426"/>
    <w:rsid w:val="00344AF2"/>
    <w:rsid w:val="00396DEF"/>
    <w:rsid w:val="004206B9"/>
    <w:rsid w:val="00420FA4"/>
    <w:rsid w:val="00431709"/>
    <w:rsid w:val="00446BA6"/>
    <w:rsid w:val="0044753D"/>
    <w:rsid w:val="00483EF3"/>
    <w:rsid w:val="004D052C"/>
    <w:rsid w:val="004D254C"/>
    <w:rsid w:val="005405B3"/>
    <w:rsid w:val="00571DD5"/>
    <w:rsid w:val="0058603D"/>
    <w:rsid w:val="005B5E82"/>
    <w:rsid w:val="0062210E"/>
    <w:rsid w:val="0063401E"/>
    <w:rsid w:val="00660623"/>
    <w:rsid w:val="00665ED6"/>
    <w:rsid w:val="00674C48"/>
    <w:rsid w:val="006954DB"/>
    <w:rsid w:val="006C3639"/>
    <w:rsid w:val="007750B3"/>
    <w:rsid w:val="007B15D4"/>
    <w:rsid w:val="007E29CD"/>
    <w:rsid w:val="007F5881"/>
    <w:rsid w:val="007F5C53"/>
    <w:rsid w:val="00802719"/>
    <w:rsid w:val="00812B8B"/>
    <w:rsid w:val="00865706"/>
    <w:rsid w:val="00893846"/>
    <w:rsid w:val="008A72B1"/>
    <w:rsid w:val="008D2828"/>
    <w:rsid w:val="008E1E7A"/>
    <w:rsid w:val="008E70E5"/>
    <w:rsid w:val="009B6A77"/>
    <w:rsid w:val="009C4480"/>
    <w:rsid w:val="009E472C"/>
    <w:rsid w:val="00A047B1"/>
    <w:rsid w:val="00A4602A"/>
    <w:rsid w:val="00A64C0D"/>
    <w:rsid w:val="00A72C7E"/>
    <w:rsid w:val="00AB142B"/>
    <w:rsid w:val="00AB597F"/>
    <w:rsid w:val="00AD03C2"/>
    <w:rsid w:val="00B23B2B"/>
    <w:rsid w:val="00B322C6"/>
    <w:rsid w:val="00B357D5"/>
    <w:rsid w:val="00B633C4"/>
    <w:rsid w:val="00B87819"/>
    <w:rsid w:val="00B92238"/>
    <w:rsid w:val="00BC60D7"/>
    <w:rsid w:val="00BD0F88"/>
    <w:rsid w:val="00BD42AD"/>
    <w:rsid w:val="00BE5E59"/>
    <w:rsid w:val="00C30E2E"/>
    <w:rsid w:val="00C43ADC"/>
    <w:rsid w:val="00CA5C57"/>
    <w:rsid w:val="00CE0EF4"/>
    <w:rsid w:val="00D77555"/>
    <w:rsid w:val="00D82B04"/>
    <w:rsid w:val="00D86B11"/>
    <w:rsid w:val="00D917B3"/>
    <w:rsid w:val="00D9575D"/>
    <w:rsid w:val="00DC15C7"/>
    <w:rsid w:val="00DD5E48"/>
    <w:rsid w:val="00E1139F"/>
    <w:rsid w:val="00E52BB5"/>
    <w:rsid w:val="00E91C50"/>
    <w:rsid w:val="00EB08A7"/>
    <w:rsid w:val="00EB3C83"/>
    <w:rsid w:val="00EB4116"/>
    <w:rsid w:val="00EB71B8"/>
    <w:rsid w:val="00EE2EEF"/>
    <w:rsid w:val="00EF0781"/>
    <w:rsid w:val="00EF63B6"/>
    <w:rsid w:val="00EF6BF7"/>
    <w:rsid w:val="00F22379"/>
    <w:rsid w:val="00F31448"/>
    <w:rsid w:val="00F3579D"/>
    <w:rsid w:val="00F4188D"/>
    <w:rsid w:val="00F8411C"/>
    <w:rsid w:val="00FA6054"/>
    <w:rsid w:val="00FC0F29"/>
    <w:rsid w:val="00FE156C"/>
    <w:rsid w:val="00FF04D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2B8B"/>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93846"/>
    <w:pPr>
      <w:tabs>
        <w:tab w:val="center" w:pos="4153"/>
        <w:tab w:val="right" w:pos="8306"/>
      </w:tabs>
      <w:snapToGrid w:val="0"/>
    </w:pPr>
    <w:rPr>
      <w:sz w:val="20"/>
      <w:szCs w:val="20"/>
    </w:rPr>
  </w:style>
  <w:style w:type="character" w:customStyle="1" w:styleId="a4">
    <w:name w:val="頁首 字元"/>
    <w:basedOn w:val="a0"/>
    <w:link w:val="a3"/>
    <w:uiPriority w:val="99"/>
    <w:semiHidden/>
    <w:rsid w:val="00893846"/>
    <w:rPr>
      <w:sz w:val="20"/>
      <w:szCs w:val="20"/>
    </w:rPr>
  </w:style>
  <w:style w:type="paragraph" w:styleId="a5">
    <w:name w:val="footer"/>
    <w:basedOn w:val="a"/>
    <w:link w:val="a6"/>
    <w:uiPriority w:val="99"/>
    <w:semiHidden/>
    <w:unhideWhenUsed/>
    <w:rsid w:val="00893846"/>
    <w:pPr>
      <w:tabs>
        <w:tab w:val="center" w:pos="4153"/>
        <w:tab w:val="right" w:pos="8306"/>
      </w:tabs>
      <w:snapToGrid w:val="0"/>
    </w:pPr>
    <w:rPr>
      <w:sz w:val="20"/>
      <w:szCs w:val="20"/>
    </w:rPr>
  </w:style>
  <w:style w:type="character" w:customStyle="1" w:styleId="a6">
    <w:name w:val="頁尾 字元"/>
    <w:basedOn w:val="a0"/>
    <w:link w:val="a5"/>
    <w:uiPriority w:val="99"/>
    <w:semiHidden/>
    <w:rsid w:val="00893846"/>
    <w:rPr>
      <w:sz w:val="20"/>
      <w:szCs w:val="20"/>
    </w:rPr>
  </w:style>
  <w:style w:type="table" w:styleId="a7">
    <w:name w:val="Table Grid"/>
    <w:basedOn w:val="a1"/>
    <w:uiPriority w:val="59"/>
    <w:rsid w:val="00EB08A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1F4EAE"/>
    <w:pPr>
      <w:ind w:leftChars="200" w:left="480"/>
    </w:pPr>
  </w:style>
  <w:style w:type="paragraph" w:styleId="a9">
    <w:name w:val="Balloon Text"/>
    <w:basedOn w:val="a"/>
    <w:link w:val="aa"/>
    <w:uiPriority w:val="99"/>
    <w:semiHidden/>
    <w:unhideWhenUsed/>
    <w:rsid w:val="002E0A6C"/>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2E0A6C"/>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divs>
    <w:div w:id="406810599">
      <w:bodyDiv w:val="1"/>
      <w:marLeft w:val="0"/>
      <w:marRight w:val="0"/>
      <w:marTop w:val="0"/>
      <w:marBottom w:val="0"/>
      <w:divBdr>
        <w:top w:val="none" w:sz="0" w:space="0" w:color="auto"/>
        <w:left w:val="none" w:sz="0" w:space="0" w:color="auto"/>
        <w:bottom w:val="none" w:sz="0" w:space="0" w:color="auto"/>
        <w:right w:val="none" w:sz="0" w:space="0" w:color="auto"/>
      </w:divBdr>
    </w:div>
    <w:div w:id="519391104">
      <w:bodyDiv w:val="1"/>
      <w:marLeft w:val="0"/>
      <w:marRight w:val="0"/>
      <w:marTop w:val="0"/>
      <w:marBottom w:val="0"/>
      <w:divBdr>
        <w:top w:val="none" w:sz="0" w:space="0" w:color="auto"/>
        <w:left w:val="none" w:sz="0" w:space="0" w:color="auto"/>
        <w:bottom w:val="none" w:sz="0" w:space="0" w:color="auto"/>
        <w:right w:val="none" w:sz="0" w:space="0" w:color="auto"/>
      </w:divBdr>
    </w:div>
    <w:div w:id="1898204968">
      <w:bodyDiv w:val="1"/>
      <w:marLeft w:val="0"/>
      <w:marRight w:val="0"/>
      <w:marTop w:val="0"/>
      <w:marBottom w:val="0"/>
      <w:divBdr>
        <w:top w:val="none" w:sz="0" w:space="0" w:color="auto"/>
        <w:left w:val="none" w:sz="0" w:space="0" w:color="auto"/>
        <w:bottom w:val="none" w:sz="0" w:space="0" w:color="auto"/>
        <w:right w:val="none" w:sz="0" w:space="0" w:color="auto"/>
      </w:divBdr>
    </w:div>
    <w:div w:id="1922638314">
      <w:bodyDiv w:val="1"/>
      <w:marLeft w:val="0"/>
      <w:marRight w:val="0"/>
      <w:marTop w:val="0"/>
      <w:marBottom w:val="0"/>
      <w:divBdr>
        <w:top w:val="none" w:sz="0" w:space="0" w:color="auto"/>
        <w:left w:val="none" w:sz="0" w:space="0" w:color="auto"/>
        <w:bottom w:val="none" w:sz="0" w:space="0" w:color="auto"/>
        <w:right w:val="none" w:sz="0" w:space="0" w:color="auto"/>
      </w:divBdr>
    </w:div>
    <w:div w:id="197540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104</Words>
  <Characters>599</Characters>
  <Application>Microsoft Office Word</Application>
  <DocSecurity>0</DocSecurity>
  <Lines>4</Lines>
  <Paragraphs>1</Paragraphs>
  <ScaleCrop>false</ScaleCrop>
  <Company/>
  <LinksUpToDate>false</LinksUpToDate>
  <CharactersWithSpaces>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1513</dc:creator>
  <cp:lastModifiedBy>1371</cp:lastModifiedBy>
  <cp:revision>3</cp:revision>
  <cp:lastPrinted>2020-10-20T10:14:00Z</cp:lastPrinted>
  <dcterms:created xsi:type="dcterms:W3CDTF">2020-10-23T06:08:00Z</dcterms:created>
  <dcterms:modified xsi:type="dcterms:W3CDTF">2020-10-23T06:08:00Z</dcterms:modified>
</cp:coreProperties>
</file>