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373" w:rsidRPr="00535128" w:rsidRDefault="00514373" w:rsidP="007532EC">
      <w:pPr>
        <w:widowControl/>
        <w:snapToGrid w:val="0"/>
        <w:spacing w:afterLines="50" w:line="500" w:lineRule="atLeast"/>
        <w:ind w:rightChars="15" w:right="36"/>
        <w:jc w:val="center"/>
        <w:rPr>
          <w:rFonts w:ascii="標楷體" w:eastAsia="標楷體" w:hAnsi="標楷體"/>
          <w:b/>
          <w:sz w:val="36"/>
          <w:szCs w:val="36"/>
        </w:rPr>
      </w:pPr>
      <w:r w:rsidRPr="00535128">
        <w:rPr>
          <w:rFonts w:ascii="標楷體" w:eastAsia="標楷體" w:hAnsi="標楷體" w:hint="eastAsia"/>
          <w:b/>
          <w:sz w:val="36"/>
          <w:szCs w:val="36"/>
        </w:rPr>
        <w:t>行政院公共工程委員會</w:t>
      </w:r>
      <w:r w:rsidRPr="00535128">
        <w:rPr>
          <w:rFonts w:ascii="標楷體" w:eastAsia="標楷體" w:hAnsi="標楷體"/>
          <w:b/>
          <w:sz w:val="36"/>
          <w:szCs w:val="36"/>
        </w:rPr>
        <w:t>103</w:t>
      </w:r>
      <w:r w:rsidRPr="00535128">
        <w:rPr>
          <w:rFonts w:ascii="標楷體" w:eastAsia="標楷體" w:hAnsi="標楷體" w:hint="eastAsia"/>
          <w:b/>
          <w:sz w:val="36"/>
          <w:szCs w:val="36"/>
        </w:rPr>
        <w:t>年度推動性別主流化成果報告</w:t>
      </w:r>
    </w:p>
    <w:p w:rsidR="00514373" w:rsidRPr="00535128" w:rsidRDefault="00514373" w:rsidP="007A0952">
      <w:pPr>
        <w:pStyle w:val="ListParagraph"/>
        <w:widowControl/>
        <w:numPr>
          <w:ilvl w:val="0"/>
          <w:numId w:val="8"/>
        </w:numPr>
        <w:snapToGrid w:val="0"/>
        <w:spacing w:line="500" w:lineRule="atLeast"/>
        <w:ind w:leftChars="0" w:left="658" w:hanging="658"/>
        <w:rPr>
          <w:rFonts w:ascii="標楷體" w:eastAsia="標楷體" w:hAnsi="標楷體"/>
          <w:b/>
          <w:sz w:val="32"/>
          <w:szCs w:val="32"/>
        </w:rPr>
      </w:pPr>
      <w:r w:rsidRPr="00535128">
        <w:rPr>
          <w:rFonts w:ascii="標楷體" w:eastAsia="標楷體" w:hAnsi="標楷體" w:hint="eastAsia"/>
          <w:b/>
          <w:sz w:val="32"/>
          <w:szCs w:val="32"/>
        </w:rPr>
        <w:t>依據</w:t>
      </w:r>
    </w:p>
    <w:p w:rsidR="00514373" w:rsidRPr="00535128" w:rsidRDefault="00514373" w:rsidP="007A0952">
      <w:pPr>
        <w:pStyle w:val="ListParagraph"/>
        <w:widowControl/>
        <w:numPr>
          <w:ilvl w:val="0"/>
          <w:numId w:val="2"/>
        </w:numPr>
        <w:snapToGrid w:val="0"/>
        <w:spacing w:line="500" w:lineRule="atLeast"/>
        <w:ind w:leftChars="0" w:left="924" w:hanging="588"/>
        <w:jc w:val="both"/>
        <w:rPr>
          <w:rFonts w:ascii="標楷體" w:eastAsia="標楷體" w:hAnsi="標楷體"/>
          <w:sz w:val="28"/>
          <w:szCs w:val="28"/>
        </w:rPr>
      </w:pPr>
      <w:r w:rsidRPr="00535128">
        <w:rPr>
          <w:rFonts w:ascii="標楷體" w:eastAsia="標楷體" w:hAnsi="標楷體" w:hint="eastAsia"/>
          <w:sz w:val="28"/>
          <w:szCs w:val="28"/>
        </w:rPr>
        <w:t>行政院</w:t>
      </w:r>
      <w:r w:rsidRPr="00535128">
        <w:rPr>
          <w:rFonts w:ascii="標楷體" w:eastAsia="標楷體" w:hAnsi="標楷體"/>
          <w:sz w:val="28"/>
          <w:szCs w:val="28"/>
        </w:rPr>
        <w:t>102</w:t>
      </w:r>
      <w:r w:rsidRPr="00535128">
        <w:rPr>
          <w:rFonts w:ascii="標楷體" w:eastAsia="標楷體" w:hAnsi="標楷體" w:hint="eastAsia"/>
          <w:sz w:val="28"/>
          <w:szCs w:val="28"/>
        </w:rPr>
        <w:t>年</w:t>
      </w:r>
      <w:r w:rsidRPr="00535128">
        <w:rPr>
          <w:rFonts w:ascii="標楷體" w:eastAsia="標楷體" w:hAnsi="標楷體"/>
          <w:sz w:val="28"/>
          <w:szCs w:val="28"/>
        </w:rPr>
        <w:t>10</w:t>
      </w:r>
      <w:r w:rsidRPr="00535128">
        <w:rPr>
          <w:rFonts w:ascii="標楷體" w:eastAsia="標楷體" w:hAnsi="標楷體" w:hint="eastAsia"/>
          <w:sz w:val="28"/>
          <w:szCs w:val="28"/>
        </w:rPr>
        <w:t>月</w:t>
      </w:r>
      <w:r w:rsidRPr="00535128">
        <w:rPr>
          <w:rFonts w:ascii="標楷體" w:eastAsia="標楷體" w:hAnsi="標楷體"/>
          <w:sz w:val="28"/>
          <w:szCs w:val="28"/>
        </w:rPr>
        <w:t>28</w:t>
      </w:r>
      <w:r w:rsidRPr="00535128">
        <w:rPr>
          <w:rFonts w:ascii="標楷體" w:eastAsia="標楷體" w:hAnsi="標楷體" w:hint="eastAsia"/>
          <w:sz w:val="28"/>
          <w:szCs w:val="28"/>
        </w:rPr>
        <w:t>日函頒「行政院所屬各機關推動性別主流化實施計畫（</w:t>
      </w:r>
      <w:r w:rsidRPr="00535128">
        <w:rPr>
          <w:rFonts w:ascii="標楷體" w:eastAsia="標楷體" w:hAnsi="標楷體"/>
          <w:sz w:val="28"/>
          <w:szCs w:val="28"/>
        </w:rPr>
        <w:t>103</w:t>
      </w:r>
      <w:r w:rsidRPr="00535128">
        <w:rPr>
          <w:rFonts w:ascii="標楷體" w:eastAsia="標楷體" w:hAnsi="標楷體" w:hint="eastAsia"/>
          <w:sz w:val="28"/>
          <w:szCs w:val="28"/>
        </w:rPr>
        <w:t>至</w:t>
      </w:r>
      <w:r w:rsidRPr="00535128">
        <w:rPr>
          <w:rFonts w:ascii="標楷體" w:eastAsia="標楷體" w:hAnsi="標楷體"/>
          <w:sz w:val="28"/>
          <w:szCs w:val="28"/>
        </w:rPr>
        <w:t>106</w:t>
      </w:r>
      <w:r w:rsidRPr="00535128">
        <w:rPr>
          <w:rFonts w:ascii="標楷體" w:eastAsia="標楷體" w:hAnsi="標楷體" w:hint="eastAsia"/>
          <w:sz w:val="28"/>
          <w:szCs w:val="28"/>
        </w:rPr>
        <w:t>年度）」。</w:t>
      </w:r>
    </w:p>
    <w:p w:rsidR="00514373" w:rsidRPr="00535128" w:rsidRDefault="00514373" w:rsidP="007A0952">
      <w:pPr>
        <w:pStyle w:val="ListParagraph"/>
        <w:widowControl/>
        <w:numPr>
          <w:ilvl w:val="0"/>
          <w:numId w:val="2"/>
        </w:numPr>
        <w:snapToGrid w:val="0"/>
        <w:spacing w:line="500" w:lineRule="atLeast"/>
        <w:ind w:leftChars="0" w:left="924" w:hanging="588"/>
        <w:jc w:val="both"/>
        <w:rPr>
          <w:rFonts w:ascii="標楷體" w:eastAsia="標楷體" w:hAnsi="標楷體"/>
          <w:sz w:val="28"/>
          <w:szCs w:val="28"/>
        </w:rPr>
      </w:pPr>
      <w:r w:rsidRPr="00535128">
        <w:rPr>
          <w:rFonts w:ascii="標楷體" w:eastAsia="標楷體" w:hAnsi="標楷體" w:hint="eastAsia"/>
          <w:sz w:val="28"/>
          <w:szCs w:val="28"/>
        </w:rPr>
        <w:t>行政院公共工程委員會推動性別主流化執行計畫（</w:t>
      </w:r>
      <w:r w:rsidRPr="00535128">
        <w:rPr>
          <w:rFonts w:ascii="標楷體" w:eastAsia="標楷體" w:hAnsi="標楷體"/>
          <w:sz w:val="28"/>
          <w:szCs w:val="28"/>
        </w:rPr>
        <w:t>103</w:t>
      </w:r>
      <w:r w:rsidRPr="00535128">
        <w:rPr>
          <w:rFonts w:ascii="標楷體" w:eastAsia="標楷體" w:hAnsi="標楷體" w:hint="eastAsia"/>
          <w:sz w:val="28"/>
          <w:szCs w:val="28"/>
        </w:rPr>
        <w:t>至</w:t>
      </w:r>
      <w:r w:rsidRPr="00535128">
        <w:rPr>
          <w:rFonts w:ascii="標楷體" w:eastAsia="標楷體" w:hAnsi="標楷體"/>
          <w:sz w:val="28"/>
          <w:szCs w:val="28"/>
        </w:rPr>
        <w:t>106</w:t>
      </w:r>
      <w:r w:rsidRPr="00535128">
        <w:rPr>
          <w:rFonts w:ascii="標楷體" w:eastAsia="標楷體" w:hAnsi="標楷體" w:hint="eastAsia"/>
          <w:sz w:val="28"/>
          <w:szCs w:val="28"/>
        </w:rPr>
        <w:t>年度）。</w:t>
      </w:r>
    </w:p>
    <w:p w:rsidR="00514373" w:rsidRPr="00535128" w:rsidRDefault="00514373" w:rsidP="007532EC">
      <w:pPr>
        <w:pStyle w:val="ListParagraph"/>
        <w:widowControl/>
        <w:numPr>
          <w:ilvl w:val="0"/>
          <w:numId w:val="8"/>
        </w:numPr>
        <w:snapToGrid w:val="0"/>
        <w:spacing w:beforeLines="50" w:line="500" w:lineRule="atLeast"/>
        <w:ind w:leftChars="0" w:left="658" w:hanging="658"/>
        <w:rPr>
          <w:rFonts w:ascii="標楷體" w:eastAsia="標楷體" w:hAnsi="標楷體"/>
          <w:b/>
          <w:sz w:val="32"/>
          <w:szCs w:val="32"/>
        </w:rPr>
      </w:pPr>
      <w:r w:rsidRPr="00535128">
        <w:rPr>
          <w:rFonts w:ascii="標楷體" w:eastAsia="標楷體" w:hAnsi="標楷體" w:hint="eastAsia"/>
          <w:b/>
          <w:sz w:val="32"/>
          <w:szCs w:val="32"/>
        </w:rPr>
        <w:t>計畫目標</w:t>
      </w:r>
    </w:p>
    <w:p w:rsidR="00514373" w:rsidRPr="00535128" w:rsidRDefault="00514373" w:rsidP="007A0952">
      <w:pPr>
        <w:pStyle w:val="ListParagraph"/>
        <w:widowControl/>
        <w:numPr>
          <w:ilvl w:val="0"/>
          <w:numId w:val="14"/>
        </w:numPr>
        <w:snapToGrid w:val="0"/>
        <w:spacing w:line="500" w:lineRule="atLeast"/>
        <w:ind w:leftChars="0" w:left="993" w:hanging="709"/>
        <w:jc w:val="both"/>
        <w:rPr>
          <w:rFonts w:ascii="標楷體" w:eastAsia="標楷體" w:hAnsi="標楷體"/>
          <w:sz w:val="28"/>
          <w:szCs w:val="28"/>
        </w:rPr>
      </w:pPr>
      <w:r w:rsidRPr="00535128">
        <w:rPr>
          <w:rFonts w:ascii="標楷體" w:eastAsia="標楷體" w:hAnsi="標楷體" w:hint="eastAsia"/>
          <w:sz w:val="28"/>
          <w:szCs w:val="28"/>
        </w:rPr>
        <w:t>加強性別觀點融入機關業務，強化「消除對婦女一切形式歧視公約」（以下簡稱</w:t>
      </w:r>
      <w:r w:rsidRPr="00535128">
        <w:rPr>
          <w:rFonts w:ascii="標楷體" w:eastAsia="標楷體" w:hAnsi="標楷體"/>
          <w:sz w:val="28"/>
          <w:szCs w:val="28"/>
        </w:rPr>
        <w:t>CEDAW</w:t>
      </w:r>
      <w:r w:rsidRPr="00535128">
        <w:rPr>
          <w:rFonts w:ascii="標楷體" w:eastAsia="標楷體" w:hAnsi="標楷體" w:hint="eastAsia"/>
          <w:sz w:val="28"/>
          <w:szCs w:val="28"/>
        </w:rPr>
        <w:t>）及重要性別平等政策或措施之規劃、執行與評估，以達成實質性別平等之目標。</w:t>
      </w:r>
    </w:p>
    <w:p w:rsidR="00514373" w:rsidRPr="00535128" w:rsidRDefault="00514373" w:rsidP="007A0952">
      <w:pPr>
        <w:pStyle w:val="ListParagraph"/>
        <w:widowControl/>
        <w:numPr>
          <w:ilvl w:val="0"/>
          <w:numId w:val="19"/>
        </w:numPr>
        <w:snapToGrid w:val="0"/>
        <w:spacing w:line="500" w:lineRule="atLeast"/>
        <w:ind w:leftChars="0" w:left="1274"/>
        <w:jc w:val="both"/>
        <w:rPr>
          <w:rFonts w:ascii="標楷體" w:eastAsia="標楷體" w:hAnsi="標楷體"/>
          <w:sz w:val="28"/>
          <w:szCs w:val="28"/>
        </w:rPr>
      </w:pPr>
      <w:r w:rsidRPr="00535128">
        <w:rPr>
          <w:rFonts w:ascii="標楷體" w:eastAsia="標楷體" w:hAnsi="標楷體" w:hint="eastAsia"/>
          <w:sz w:val="28"/>
          <w:szCs w:val="28"/>
        </w:rPr>
        <w:t>逐年提升專家學者建議名單資料庫審議小組之女性委員比率。</w:t>
      </w:r>
    </w:p>
    <w:p w:rsidR="00514373" w:rsidRPr="00535128" w:rsidRDefault="00514373" w:rsidP="007A0952">
      <w:pPr>
        <w:pStyle w:val="ListParagraph"/>
        <w:widowControl/>
        <w:numPr>
          <w:ilvl w:val="0"/>
          <w:numId w:val="19"/>
        </w:numPr>
        <w:snapToGrid w:val="0"/>
        <w:spacing w:line="500" w:lineRule="atLeast"/>
        <w:ind w:leftChars="0" w:left="1274"/>
        <w:jc w:val="both"/>
        <w:rPr>
          <w:rFonts w:ascii="標楷體" w:eastAsia="標楷體" w:hAnsi="標楷體"/>
          <w:sz w:val="28"/>
          <w:szCs w:val="28"/>
        </w:rPr>
      </w:pPr>
      <w:r w:rsidRPr="00535128">
        <w:rPr>
          <w:rFonts w:ascii="標楷體" w:eastAsia="標楷體" w:hAnsi="標楷體" w:hint="eastAsia"/>
          <w:sz w:val="28"/>
          <w:szCs w:val="28"/>
        </w:rPr>
        <w:t>提升女性人員參與公共工程基本設計審議業務。</w:t>
      </w:r>
    </w:p>
    <w:p w:rsidR="00514373" w:rsidRPr="00535128" w:rsidRDefault="00514373" w:rsidP="007A0952">
      <w:pPr>
        <w:pStyle w:val="ListParagraph"/>
        <w:widowControl/>
        <w:numPr>
          <w:ilvl w:val="0"/>
          <w:numId w:val="19"/>
        </w:numPr>
        <w:snapToGrid w:val="0"/>
        <w:spacing w:line="500" w:lineRule="atLeast"/>
        <w:ind w:leftChars="0" w:left="1274"/>
        <w:jc w:val="both"/>
        <w:rPr>
          <w:rFonts w:ascii="標楷體" w:eastAsia="標楷體" w:hAnsi="標楷體"/>
          <w:sz w:val="28"/>
          <w:szCs w:val="28"/>
        </w:rPr>
      </w:pPr>
      <w:r w:rsidRPr="00535128">
        <w:rPr>
          <w:rFonts w:ascii="標楷體" w:eastAsia="標楷體" w:hAnsi="標楷體" w:hint="eastAsia"/>
          <w:sz w:val="28"/>
          <w:szCs w:val="28"/>
        </w:rPr>
        <w:t>建立公平公開之女性查核委員推薦管道，讓具有工程專業知識經驗背景之女性，參與工程施工查核作業，提供專業意見之表達。</w:t>
      </w:r>
    </w:p>
    <w:p w:rsidR="00514373" w:rsidRPr="00535128" w:rsidRDefault="00514373" w:rsidP="007A0952">
      <w:pPr>
        <w:pStyle w:val="ListParagraph"/>
        <w:widowControl/>
        <w:numPr>
          <w:ilvl w:val="0"/>
          <w:numId w:val="19"/>
        </w:numPr>
        <w:snapToGrid w:val="0"/>
        <w:spacing w:line="500" w:lineRule="atLeast"/>
        <w:ind w:leftChars="0" w:left="1274"/>
        <w:jc w:val="both"/>
        <w:rPr>
          <w:rFonts w:ascii="標楷體" w:eastAsia="標楷體" w:hAnsi="標楷體"/>
          <w:sz w:val="28"/>
          <w:szCs w:val="28"/>
        </w:rPr>
      </w:pPr>
      <w:r w:rsidRPr="00535128">
        <w:rPr>
          <w:rFonts w:ascii="標楷體" w:eastAsia="標楷體" w:hAnsi="標楷體" w:hint="eastAsia"/>
          <w:sz w:val="28"/>
          <w:szCs w:val="28"/>
        </w:rPr>
        <w:t>強化本會人員出席國際會議（組織）之女性參與率。</w:t>
      </w:r>
    </w:p>
    <w:p w:rsidR="00514373" w:rsidRPr="00535128" w:rsidRDefault="00514373" w:rsidP="007A0952">
      <w:pPr>
        <w:pStyle w:val="ListParagraph"/>
        <w:widowControl/>
        <w:numPr>
          <w:ilvl w:val="0"/>
          <w:numId w:val="14"/>
        </w:numPr>
        <w:snapToGrid w:val="0"/>
        <w:spacing w:line="500" w:lineRule="atLeast"/>
        <w:ind w:leftChars="0" w:left="993" w:hanging="709"/>
        <w:jc w:val="both"/>
        <w:rPr>
          <w:rFonts w:ascii="標楷體" w:eastAsia="標楷體" w:hAnsi="標楷體"/>
          <w:sz w:val="28"/>
          <w:szCs w:val="28"/>
        </w:rPr>
      </w:pPr>
      <w:r w:rsidRPr="00535128">
        <w:rPr>
          <w:rFonts w:ascii="標楷體" w:eastAsia="標楷體" w:hAnsi="標楷體" w:hint="eastAsia"/>
          <w:sz w:val="28"/>
          <w:szCs w:val="28"/>
        </w:rPr>
        <w:t>賡續推動性別主流化各項工具，並提升推動品質及擴大成效：</w:t>
      </w:r>
    </w:p>
    <w:p w:rsidR="00514373" w:rsidRPr="00535128" w:rsidRDefault="00514373" w:rsidP="007A0952">
      <w:pPr>
        <w:pStyle w:val="ListParagraph"/>
        <w:widowControl/>
        <w:numPr>
          <w:ilvl w:val="0"/>
          <w:numId w:val="25"/>
        </w:numPr>
        <w:snapToGrid w:val="0"/>
        <w:spacing w:line="500" w:lineRule="atLeast"/>
        <w:ind w:leftChars="0" w:left="1246"/>
        <w:jc w:val="both"/>
        <w:rPr>
          <w:rFonts w:ascii="標楷體" w:eastAsia="標楷體" w:hAnsi="標楷體"/>
          <w:sz w:val="28"/>
          <w:szCs w:val="28"/>
        </w:rPr>
      </w:pPr>
      <w:r w:rsidRPr="00535128">
        <w:rPr>
          <w:rFonts w:ascii="標楷體" w:eastAsia="標楷體" w:hAnsi="標楷體" w:hint="eastAsia"/>
          <w:sz w:val="28"/>
          <w:szCs w:val="28"/>
        </w:rPr>
        <w:t>強化本會性別平等專案小組運作機制。</w:t>
      </w:r>
    </w:p>
    <w:p w:rsidR="00514373" w:rsidRPr="00535128" w:rsidRDefault="00514373" w:rsidP="007A0952">
      <w:pPr>
        <w:pStyle w:val="ListParagraph"/>
        <w:widowControl/>
        <w:numPr>
          <w:ilvl w:val="0"/>
          <w:numId w:val="25"/>
        </w:numPr>
        <w:snapToGrid w:val="0"/>
        <w:spacing w:line="500" w:lineRule="atLeast"/>
        <w:ind w:leftChars="0" w:left="1246"/>
        <w:jc w:val="both"/>
        <w:rPr>
          <w:rFonts w:ascii="標楷體" w:eastAsia="標楷體" w:hAnsi="標楷體"/>
          <w:sz w:val="28"/>
          <w:szCs w:val="28"/>
        </w:rPr>
      </w:pPr>
      <w:r w:rsidRPr="00535128">
        <w:rPr>
          <w:rFonts w:ascii="標楷體" w:eastAsia="標楷體" w:hAnsi="標楷體" w:hint="eastAsia"/>
          <w:sz w:val="28"/>
          <w:szCs w:val="28"/>
        </w:rPr>
        <w:t>提升性別影響評估辦理品質及管考性別目標達成情形。</w:t>
      </w:r>
    </w:p>
    <w:p w:rsidR="00514373" w:rsidRPr="00535128" w:rsidRDefault="00514373" w:rsidP="007A0952">
      <w:pPr>
        <w:pStyle w:val="ListParagraph"/>
        <w:widowControl/>
        <w:numPr>
          <w:ilvl w:val="0"/>
          <w:numId w:val="25"/>
        </w:numPr>
        <w:snapToGrid w:val="0"/>
        <w:spacing w:line="500" w:lineRule="atLeast"/>
        <w:ind w:leftChars="0" w:left="1246"/>
        <w:jc w:val="both"/>
        <w:rPr>
          <w:rFonts w:ascii="標楷體" w:eastAsia="標楷體" w:hAnsi="標楷體"/>
          <w:sz w:val="28"/>
          <w:szCs w:val="28"/>
        </w:rPr>
      </w:pPr>
      <w:r w:rsidRPr="00535128">
        <w:rPr>
          <w:rFonts w:ascii="標楷體" w:eastAsia="標楷體" w:hAnsi="標楷體" w:hint="eastAsia"/>
          <w:sz w:val="28"/>
          <w:szCs w:val="28"/>
        </w:rPr>
        <w:t>施政規劃、執行及評估時，加強運用性別統計及分析資料。</w:t>
      </w:r>
    </w:p>
    <w:p w:rsidR="00514373" w:rsidRPr="00535128" w:rsidRDefault="00514373" w:rsidP="007A0952">
      <w:pPr>
        <w:pStyle w:val="ListParagraph"/>
        <w:widowControl/>
        <w:numPr>
          <w:ilvl w:val="0"/>
          <w:numId w:val="25"/>
        </w:numPr>
        <w:snapToGrid w:val="0"/>
        <w:spacing w:line="500" w:lineRule="atLeast"/>
        <w:ind w:leftChars="0" w:left="1246"/>
        <w:jc w:val="both"/>
        <w:rPr>
          <w:rFonts w:ascii="標楷體" w:eastAsia="標楷體" w:hAnsi="標楷體"/>
          <w:sz w:val="28"/>
          <w:szCs w:val="28"/>
        </w:rPr>
      </w:pPr>
      <w:r w:rsidRPr="00535128">
        <w:rPr>
          <w:rFonts w:ascii="標楷體" w:eastAsia="標楷體" w:hAnsi="標楷體" w:hint="eastAsia"/>
          <w:sz w:val="28"/>
          <w:szCs w:val="28"/>
        </w:rPr>
        <w:t>擴大性別預算檢視範圍及加強性別預算說明。</w:t>
      </w:r>
    </w:p>
    <w:p w:rsidR="00514373" w:rsidRPr="00535128" w:rsidRDefault="00514373" w:rsidP="007A0952">
      <w:pPr>
        <w:pStyle w:val="ListParagraph"/>
        <w:widowControl/>
        <w:numPr>
          <w:ilvl w:val="0"/>
          <w:numId w:val="25"/>
        </w:numPr>
        <w:snapToGrid w:val="0"/>
        <w:spacing w:line="500" w:lineRule="atLeast"/>
        <w:ind w:leftChars="0" w:left="1246"/>
        <w:jc w:val="both"/>
        <w:rPr>
          <w:rFonts w:ascii="標楷體" w:eastAsia="標楷體" w:hAnsi="標楷體"/>
          <w:sz w:val="28"/>
          <w:szCs w:val="28"/>
        </w:rPr>
      </w:pPr>
      <w:r w:rsidRPr="00535128">
        <w:rPr>
          <w:rFonts w:ascii="標楷體" w:eastAsia="標楷體" w:hAnsi="標楷體" w:hint="eastAsia"/>
          <w:sz w:val="28"/>
          <w:szCs w:val="28"/>
        </w:rPr>
        <w:t>加強落實性別主流化訓練。</w:t>
      </w:r>
    </w:p>
    <w:p w:rsidR="00514373" w:rsidRPr="00535128" w:rsidRDefault="00514373" w:rsidP="007532EC">
      <w:pPr>
        <w:pStyle w:val="ListParagraph"/>
        <w:widowControl/>
        <w:numPr>
          <w:ilvl w:val="0"/>
          <w:numId w:val="8"/>
        </w:numPr>
        <w:snapToGrid w:val="0"/>
        <w:spacing w:beforeLines="50" w:line="500" w:lineRule="atLeast"/>
        <w:ind w:leftChars="0" w:left="658" w:hanging="658"/>
        <w:rPr>
          <w:rFonts w:ascii="標楷體" w:eastAsia="標楷體" w:hAnsi="標楷體"/>
          <w:b/>
          <w:sz w:val="32"/>
          <w:szCs w:val="32"/>
        </w:rPr>
      </w:pPr>
      <w:r w:rsidRPr="00535128">
        <w:rPr>
          <w:rFonts w:ascii="標楷體" w:eastAsia="標楷體" w:hAnsi="標楷體" w:hint="eastAsia"/>
          <w:b/>
          <w:sz w:val="32"/>
          <w:szCs w:val="32"/>
        </w:rPr>
        <w:t>重要辦理成果</w:t>
      </w:r>
    </w:p>
    <w:p w:rsidR="00514373" w:rsidRPr="00535128" w:rsidRDefault="00514373" w:rsidP="007A0952">
      <w:pPr>
        <w:pStyle w:val="ListParagraph"/>
        <w:widowControl/>
        <w:numPr>
          <w:ilvl w:val="0"/>
          <w:numId w:val="3"/>
        </w:numPr>
        <w:snapToGrid w:val="0"/>
        <w:spacing w:line="500" w:lineRule="atLeast"/>
        <w:ind w:leftChars="0" w:left="812" w:hanging="588"/>
        <w:rPr>
          <w:rFonts w:ascii="標楷體" w:eastAsia="標楷體" w:hAnsi="標楷體"/>
          <w:b/>
          <w:sz w:val="28"/>
          <w:szCs w:val="28"/>
        </w:rPr>
      </w:pPr>
      <w:r w:rsidRPr="00535128">
        <w:rPr>
          <w:rFonts w:ascii="標楷體" w:eastAsia="標楷體" w:hAnsi="標楷體" w:hint="eastAsia"/>
          <w:b/>
          <w:sz w:val="28"/>
          <w:szCs w:val="28"/>
        </w:rPr>
        <w:t>加強性別觀點融入機關業務，強化</w:t>
      </w:r>
      <w:r w:rsidRPr="00535128">
        <w:rPr>
          <w:rFonts w:ascii="標楷體" w:eastAsia="標楷體" w:hAnsi="標楷體"/>
          <w:b/>
          <w:sz w:val="28"/>
          <w:szCs w:val="28"/>
        </w:rPr>
        <w:t>CEDAW</w:t>
      </w:r>
      <w:r w:rsidRPr="00535128">
        <w:rPr>
          <w:rFonts w:ascii="標楷體" w:eastAsia="標楷體" w:hAnsi="標楷體" w:hint="eastAsia"/>
          <w:b/>
          <w:sz w:val="28"/>
          <w:szCs w:val="28"/>
        </w:rPr>
        <w:t>及重要性別平等政策或措施之規劃、執行與評估，以達成實質性別平等之目標</w:t>
      </w:r>
    </w:p>
    <w:p w:rsidR="00514373" w:rsidRPr="00535128" w:rsidRDefault="00514373" w:rsidP="007A0952">
      <w:pPr>
        <w:pStyle w:val="ListParagraph"/>
        <w:widowControl/>
        <w:snapToGrid w:val="0"/>
        <w:spacing w:line="500" w:lineRule="atLeast"/>
        <w:ind w:leftChars="140" w:left="1216" w:hangingChars="314" w:hanging="880"/>
        <w:rPr>
          <w:rFonts w:ascii="標楷體" w:eastAsia="標楷體" w:hAnsi="標楷體"/>
          <w:b/>
          <w:sz w:val="28"/>
          <w:szCs w:val="28"/>
        </w:rPr>
      </w:pPr>
      <w:r w:rsidRPr="00535128">
        <w:rPr>
          <w:rFonts w:ascii="標楷體" w:eastAsia="標楷體" w:hAnsi="標楷體" w:hint="eastAsia"/>
          <w:b/>
          <w:sz w:val="28"/>
          <w:szCs w:val="28"/>
        </w:rPr>
        <w:t>（一）關鍵績效指標</w:t>
      </w:r>
      <w:r w:rsidRPr="00535128">
        <w:rPr>
          <w:rFonts w:ascii="標楷體" w:eastAsia="標楷體" w:hAnsi="標楷體"/>
          <w:b/>
          <w:sz w:val="28"/>
          <w:szCs w:val="28"/>
        </w:rPr>
        <w:t>1</w:t>
      </w:r>
      <w:r w:rsidRPr="00535128">
        <w:rPr>
          <w:rFonts w:ascii="標楷體" w:eastAsia="標楷體" w:hAnsi="標楷體" w:hint="eastAsia"/>
          <w:b/>
          <w:sz w:val="28"/>
          <w:szCs w:val="28"/>
        </w:rPr>
        <w:t>：「專家學者建議名單資料庫審議小組」之女性委員年度百分比（</w:t>
      </w:r>
      <w:r w:rsidRPr="00535128">
        <w:rPr>
          <w:rFonts w:ascii="標楷體" w:eastAsia="標楷體" w:hAnsi="標楷體"/>
          <w:b/>
          <w:sz w:val="28"/>
          <w:szCs w:val="28"/>
        </w:rPr>
        <w:t>%</w:t>
      </w:r>
      <w:r w:rsidRPr="00535128">
        <w:rPr>
          <w:rFonts w:ascii="標楷體" w:eastAsia="標楷體" w:hAnsi="標楷體" w:hint="eastAsia"/>
          <w:b/>
          <w:sz w:val="28"/>
          <w:szCs w:val="28"/>
        </w:rPr>
        <w:t>）</w:t>
      </w:r>
    </w:p>
    <w:p w:rsidR="00514373" w:rsidRPr="00535128" w:rsidRDefault="00514373" w:rsidP="007A0952">
      <w:pPr>
        <w:widowControl/>
        <w:snapToGrid w:val="0"/>
        <w:spacing w:line="500" w:lineRule="atLeast"/>
        <w:ind w:leftChars="321" w:left="1529" w:hangingChars="271" w:hanging="759"/>
        <w:rPr>
          <w:rFonts w:ascii="標楷體" w:eastAsia="標楷體" w:hAnsi="標楷體"/>
          <w:sz w:val="28"/>
          <w:szCs w:val="28"/>
        </w:rPr>
      </w:pPr>
      <w:r w:rsidRPr="00535128">
        <w:rPr>
          <w:rFonts w:ascii="標楷體" w:eastAsia="標楷體" w:hAnsi="標楷體"/>
          <w:sz w:val="28"/>
          <w:szCs w:val="28"/>
        </w:rPr>
        <w:t>1</w:t>
      </w:r>
      <w:r w:rsidRPr="00535128">
        <w:rPr>
          <w:rFonts w:ascii="標楷體" w:eastAsia="標楷體" w:hAnsi="標楷體" w:hint="eastAsia"/>
          <w:sz w:val="28"/>
          <w:szCs w:val="28"/>
        </w:rPr>
        <w:t>、目標達成情形</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1584"/>
        <w:gridCol w:w="1585"/>
        <w:gridCol w:w="1585"/>
        <w:gridCol w:w="1585"/>
      </w:tblGrid>
      <w:tr w:rsidR="00514373" w:rsidRPr="00535128" w:rsidTr="00622A64">
        <w:trPr>
          <w:tblHeader/>
        </w:trPr>
        <w:tc>
          <w:tcPr>
            <w:tcW w:w="1985" w:type="dxa"/>
            <w:tcBorders>
              <w:tl2br w:val="single" w:sz="4" w:space="0" w:color="auto"/>
            </w:tcBorders>
            <w:vAlign w:val="bottom"/>
          </w:tcPr>
          <w:p w:rsidR="00514373" w:rsidRPr="00535128" w:rsidRDefault="00514373" w:rsidP="007A0952">
            <w:pPr>
              <w:pStyle w:val="ListParagraph"/>
              <w:widowControl/>
              <w:snapToGrid w:val="0"/>
              <w:spacing w:line="500" w:lineRule="atLeast"/>
              <w:ind w:leftChars="0" w:left="0"/>
              <w:jc w:val="right"/>
              <w:rPr>
                <w:rFonts w:ascii="標楷體" w:eastAsia="標楷體" w:hAnsi="標楷體"/>
                <w:sz w:val="28"/>
                <w:szCs w:val="28"/>
              </w:rPr>
            </w:pPr>
            <w:r w:rsidRPr="00535128">
              <w:rPr>
                <w:rFonts w:ascii="標楷體" w:eastAsia="標楷體" w:hAnsi="標楷體" w:hint="eastAsia"/>
                <w:sz w:val="28"/>
                <w:szCs w:val="28"/>
              </w:rPr>
              <w:t>年度</w:t>
            </w:r>
          </w:p>
          <w:p w:rsidR="00514373" w:rsidRPr="00535128" w:rsidRDefault="00514373" w:rsidP="007A0952">
            <w:pPr>
              <w:pStyle w:val="ListParagraph"/>
              <w:widowControl/>
              <w:snapToGrid w:val="0"/>
              <w:spacing w:line="500" w:lineRule="atLeast"/>
              <w:ind w:leftChars="0" w:left="0"/>
              <w:rPr>
                <w:rFonts w:ascii="標楷體" w:eastAsia="標楷體" w:hAnsi="標楷體"/>
                <w:sz w:val="28"/>
                <w:szCs w:val="28"/>
              </w:rPr>
            </w:pPr>
            <w:r w:rsidRPr="00535128">
              <w:rPr>
                <w:rFonts w:ascii="標楷體" w:eastAsia="標楷體" w:hAnsi="標楷體" w:hint="eastAsia"/>
                <w:sz w:val="28"/>
                <w:szCs w:val="28"/>
              </w:rPr>
              <w:t>項目</w:t>
            </w:r>
          </w:p>
        </w:tc>
        <w:tc>
          <w:tcPr>
            <w:tcW w:w="1584"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103</w:t>
            </w:r>
            <w:r w:rsidRPr="00535128">
              <w:rPr>
                <w:rFonts w:ascii="標楷體" w:eastAsia="標楷體" w:hAnsi="標楷體" w:hint="eastAsia"/>
                <w:sz w:val="28"/>
                <w:szCs w:val="28"/>
              </w:rPr>
              <w:t>年</w:t>
            </w:r>
          </w:p>
        </w:tc>
        <w:tc>
          <w:tcPr>
            <w:tcW w:w="158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104</w:t>
            </w:r>
            <w:r w:rsidRPr="00535128">
              <w:rPr>
                <w:rFonts w:ascii="標楷體" w:eastAsia="標楷體" w:hAnsi="標楷體" w:hint="eastAsia"/>
                <w:sz w:val="28"/>
                <w:szCs w:val="28"/>
              </w:rPr>
              <w:t>年</w:t>
            </w:r>
          </w:p>
        </w:tc>
        <w:tc>
          <w:tcPr>
            <w:tcW w:w="158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105</w:t>
            </w:r>
            <w:r w:rsidRPr="00535128">
              <w:rPr>
                <w:rFonts w:ascii="標楷體" w:eastAsia="標楷體" w:hAnsi="標楷體" w:hint="eastAsia"/>
                <w:sz w:val="28"/>
                <w:szCs w:val="28"/>
              </w:rPr>
              <w:t>年</w:t>
            </w:r>
          </w:p>
        </w:tc>
        <w:tc>
          <w:tcPr>
            <w:tcW w:w="158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106</w:t>
            </w:r>
            <w:r w:rsidRPr="00535128">
              <w:rPr>
                <w:rFonts w:ascii="標楷體" w:eastAsia="標楷體" w:hAnsi="標楷體" w:hint="eastAsia"/>
                <w:sz w:val="28"/>
                <w:szCs w:val="28"/>
              </w:rPr>
              <w:t>年</w:t>
            </w:r>
          </w:p>
        </w:tc>
      </w:tr>
      <w:tr w:rsidR="00514373" w:rsidRPr="00535128" w:rsidTr="00622A64">
        <w:trPr>
          <w:trHeight w:val="1316"/>
        </w:trPr>
        <w:tc>
          <w:tcPr>
            <w:tcW w:w="1985" w:type="dxa"/>
            <w:vAlign w:val="center"/>
          </w:tcPr>
          <w:p w:rsidR="00514373" w:rsidRPr="00535128" w:rsidRDefault="00514373" w:rsidP="002156CB">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衡量標準</w:t>
            </w:r>
          </w:p>
        </w:tc>
        <w:tc>
          <w:tcPr>
            <w:tcW w:w="6339" w:type="dxa"/>
            <w:gridSpan w:val="4"/>
            <w:vAlign w:val="center"/>
          </w:tcPr>
          <w:p w:rsidR="00514373" w:rsidRPr="00535128" w:rsidRDefault="00514373" w:rsidP="002156CB">
            <w:pPr>
              <w:pStyle w:val="ListParagraph"/>
              <w:widowControl/>
              <w:snapToGrid w:val="0"/>
              <w:ind w:leftChars="0" w:left="0"/>
              <w:jc w:val="both"/>
              <w:rPr>
                <w:rFonts w:ascii="標楷體" w:eastAsia="標楷體" w:hAnsi="標楷體"/>
                <w:b/>
                <w:sz w:val="28"/>
                <w:szCs w:val="28"/>
              </w:rPr>
            </w:pPr>
            <w:r w:rsidRPr="00535128">
              <w:rPr>
                <w:rFonts w:ascii="標楷體" w:eastAsia="標楷體" w:hAnsi="標楷體" w:hint="eastAsia"/>
                <w:b/>
                <w:sz w:val="28"/>
                <w:szCs w:val="28"/>
              </w:rPr>
              <w:t>當年度女性委員比率（</w:t>
            </w:r>
            <w:r w:rsidRPr="00535128">
              <w:rPr>
                <w:rFonts w:ascii="標楷體" w:eastAsia="標楷體" w:hAnsi="標楷體"/>
                <w:b/>
                <w:sz w:val="28"/>
                <w:szCs w:val="28"/>
              </w:rPr>
              <w:t>%</w:t>
            </w:r>
            <w:r w:rsidRPr="00535128">
              <w:rPr>
                <w:rFonts w:ascii="標楷體" w:eastAsia="標楷體" w:hAnsi="標楷體" w:hint="eastAsia"/>
                <w:b/>
                <w:sz w:val="28"/>
                <w:szCs w:val="28"/>
              </w:rPr>
              <w:t>）</w:t>
            </w:r>
          </w:p>
          <w:p w:rsidR="00514373" w:rsidRPr="00535128" w:rsidRDefault="00514373" w:rsidP="002156CB">
            <w:pPr>
              <w:pStyle w:val="ListParagraph"/>
              <w:widowControl/>
              <w:snapToGrid w:val="0"/>
              <w:ind w:leftChars="0" w:left="0"/>
              <w:jc w:val="both"/>
              <w:rPr>
                <w:rFonts w:ascii="標楷體" w:eastAsia="標楷體" w:hAnsi="標楷體"/>
                <w:b/>
                <w:sz w:val="28"/>
                <w:szCs w:val="28"/>
              </w:rPr>
            </w:pPr>
            <w:r w:rsidRPr="00535128">
              <w:rPr>
                <w:rFonts w:ascii="標楷體" w:eastAsia="標楷體" w:hAnsi="標楷體" w:hint="eastAsia"/>
                <w:b/>
                <w:sz w:val="28"/>
                <w:szCs w:val="28"/>
              </w:rPr>
              <w:t>【女性委員比率</w:t>
            </w:r>
            <w:r w:rsidRPr="00535128">
              <w:rPr>
                <w:rFonts w:ascii="標楷體" w:eastAsia="標楷體" w:hAnsi="標楷體"/>
                <w:b/>
                <w:sz w:val="28"/>
                <w:szCs w:val="28"/>
              </w:rPr>
              <w:t>(%)=</w:t>
            </w:r>
            <w:r w:rsidRPr="00535128">
              <w:rPr>
                <w:rFonts w:ascii="標楷體" w:eastAsia="標楷體" w:hAnsi="標楷體" w:hint="eastAsia"/>
                <w:b/>
                <w:sz w:val="28"/>
                <w:szCs w:val="28"/>
              </w:rPr>
              <w:t>當年度女性委員人數</w:t>
            </w:r>
            <w:r w:rsidRPr="00535128">
              <w:rPr>
                <w:rFonts w:ascii="標楷體" w:eastAsia="標楷體" w:hAnsi="標楷體"/>
                <w:b/>
                <w:sz w:val="28"/>
                <w:szCs w:val="28"/>
              </w:rPr>
              <w:t>/</w:t>
            </w:r>
            <w:r w:rsidRPr="00535128">
              <w:rPr>
                <w:rFonts w:ascii="標楷體" w:eastAsia="標楷體" w:hAnsi="標楷體" w:hint="eastAsia"/>
                <w:b/>
                <w:sz w:val="28"/>
                <w:szCs w:val="28"/>
              </w:rPr>
              <w:t>委員總人數</w:t>
            </w:r>
            <w:r w:rsidRPr="00535128">
              <w:rPr>
                <w:rFonts w:ascii="標楷體" w:eastAsia="標楷體" w:hAnsi="標楷體"/>
                <w:b/>
                <w:sz w:val="28"/>
                <w:szCs w:val="28"/>
              </w:rPr>
              <w:t>*100%</w:t>
            </w:r>
            <w:r w:rsidRPr="00535128">
              <w:rPr>
                <w:rFonts w:ascii="標楷體" w:eastAsia="標楷體" w:hAnsi="標楷體" w:hint="eastAsia"/>
                <w:b/>
                <w:sz w:val="28"/>
                <w:szCs w:val="28"/>
              </w:rPr>
              <w:t>】</w:t>
            </w:r>
          </w:p>
        </w:tc>
      </w:tr>
      <w:tr w:rsidR="00514373" w:rsidRPr="00535128" w:rsidTr="00622A64">
        <w:trPr>
          <w:trHeight w:val="648"/>
        </w:trPr>
        <w:tc>
          <w:tcPr>
            <w:tcW w:w="1985" w:type="dxa"/>
            <w:vAlign w:val="center"/>
          </w:tcPr>
          <w:p w:rsidR="00514373" w:rsidRPr="00535128" w:rsidRDefault="00514373" w:rsidP="008117B2">
            <w:pPr>
              <w:pStyle w:val="ListParagraph"/>
              <w:widowControl/>
              <w:snapToGrid w:val="0"/>
              <w:ind w:leftChars="0" w:left="0"/>
              <w:jc w:val="center"/>
              <w:rPr>
                <w:rFonts w:ascii="標楷體" w:eastAsia="標楷體" w:hAnsi="標楷體"/>
                <w:sz w:val="28"/>
                <w:szCs w:val="28"/>
              </w:rPr>
            </w:pPr>
            <w:r w:rsidRPr="00535128">
              <w:rPr>
                <w:rFonts w:ascii="標楷體" w:eastAsia="標楷體" w:hAnsi="標楷體" w:hint="eastAsia"/>
                <w:sz w:val="28"/>
                <w:szCs w:val="28"/>
              </w:rPr>
              <w:t>目標值</w:t>
            </w:r>
            <w:r w:rsidRPr="00535128">
              <w:rPr>
                <w:rFonts w:ascii="標楷體" w:eastAsia="標楷體" w:hAnsi="標楷體"/>
                <w:sz w:val="28"/>
                <w:szCs w:val="28"/>
              </w:rPr>
              <w:t>(X)</w:t>
            </w:r>
          </w:p>
        </w:tc>
        <w:tc>
          <w:tcPr>
            <w:tcW w:w="1584" w:type="dxa"/>
            <w:vAlign w:val="center"/>
          </w:tcPr>
          <w:p w:rsidR="00514373" w:rsidRPr="00535128" w:rsidRDefault="00514373" w:rsidP="008117B2">
            <w:pPr>
              <w:widowControl/>
              <w:snapToGrid w:val="0"/>
              <w:jc w:val="center"/>
              <w:rPr>
                <w:rFonts w:ascii="標楷體" w:eastAsia="標楷體" w:hAnsi="標楷體"/>
                <w:sz w:val="28"/>
                <w:szCs w:val="28"/>
              </w:rPr>
            </w:pPr>
            <w:r w:rsidRPr="00535128">
              <w:rPr>
                <w:rFonts w:ascii="標楷體" w:eastAsia="標楷體" w:hAnsi="標楷體"/>
                <w:sz w:val="28"/>
                <w:szCs w:val="28"/>
              </w:rPr>
              <w:t>25</w:t>
            </w:r>
          </w:p>
        </w:tc>
        <w:tc>
          <w:tcPr>
            <w:tcW w:w="1585" w:type="dxa"/>
            <w:vAlign w:val="center"/>
          </w:tcPr>
          <w:p w:rsidR="00514373" w:rsidRPr="00535128" w:rsidRDefault="00514373" w:rsidP="008117B2">
            <w:pPr>
              <w:snapToGrid w:val="0"/>
              <w:jc w:val="center"/>
              <w:rPr>
                <w:rFonts w:ascii="標楷體" w:eastAsia="標楷體" w:hAnsi="標楷體"/>
                <w:sz w:val="28"/>
                <w:szCs w:val="28"/>
              </w:rPr>
            </w:pPr>
            <w:r w:rsidRPr="00535128">
              <w:rPr>
                <w:rFonts w:ascii="標楷體" w:eastAsia="標楷體" w:hAnsi="標楷體"/>
                <w:sz w:val="28"/>
                <w:szCs w:val="28"/>
              </w:rPr>
              <w:t>33</w:t>
            </w:r>
          </w:p>
        </w:tc>
        <w:tc>
          <w:tcPr>
            <w:tcW w:w="1585" w:type="dxa"/>
            <w:vAlign w:val="center"/>
          </w:tcPr>
          <w:p w:rsidR="00514373" w:rsidRPr="00535128" w:rsidRDefault="00514373" w:rsidP="008117B2">
            <w:pPr>
              <w:widowControl/>
              <w:snapToGrid w:val="0"/>
              <w:jc w:val="center"/>
              <w:rPr>
                <w:rFonts w:ascii="標楷體" w:eastAsia="標楷體" w:hAnsi="標楷體"/>
                <w:sz w:val="28"/>
                <w:szCs w:val="28"/>
              </w:rPr>
            </w:pPr>
            <w:r w:rsidRPr="00535128">
              <w:rPr>
                <w:rFonts w:ascii="標楷體" w:eastAsia="標楷體" w:hAnsi="標楷體"/>
                <w:sz w:val="28"/>
                <w:szCs w:val="28"/>
              </w:rPr>
              <w:t>33</w:t>
            </w:r>
          </w:p>
        </w:tc>
        <w:tc>
          <w:tcPr>
            <w:tcW w:w="1585" w:type="dxa"/>
            <w:vAlign w:val="center"/>
          </w:tcPr>
          <w:p w:rsidR="00514373" w:rsidRPr="00535128" w:rsidRDefault="00514373" w:rsidP="008117B2">
            <w:pPr>
              <w:snapToGrid w:val="0"/>
              <w:jc w:val="center"/>
              <w:rPr>
                <w:rFonts w:ascii="標楷體" w:eastAsia="標楷體" w:hAnsi="標楷體"/>
                <w:sz w:val="28"/>
                <w:szCs w:val="28"/>
              </w:rPr>
            </w:pPr>
            <w:r w:rsidRPr="00535128">
              <w:rPr>
                <w:rFonts w:ascii="標楷體" w:eastAsia="標楷體" w:hAnsi="標楷體"/>
                <w:sz w:val="28"/>
                <w:szCs w:val="28"/>
              </w:rPr>
              <w:t>33</w:t>
            </w:r>
          </w:p>
        </w:tc>
      </w:tr>
      <w:tr w:rsidR="00514373" w:rsidRPr="00535128" w:rsidTr="00622A64">
        <w:trPr>
          <w:trHeight w:val="648"/>
        </w:trPr>
        <w:tc>
          <w:tcPr>
            <w:tcW w:w="1985" w:type="dxa"/>
            <w:vAlign w:val="center"/>
          </w:tcPr>
          <w:p w:rsidR="00514373" w:rsidRPr="00535128" w:rsidRDefault="00514373" w:rsidP="008117B2">
            <w:pPr>
              <w:pStyle w:val="ListParagraph"/>
              <w:widowControl/>
              <w:snapToGrid w:val="0"/>
              <w:ind w:leftChars="0" w:left="0"/>
              <w:jc w:val="center"/>
              <w:rPr>
                <w:rFonts w:ascii="標楷體" w:eastAsia="標楷體" w:hAnsi="標楷體"/>
                <w:sz w:val="28"/>
                <w:szCs w:val="28"/>
              </w:rPr>
            </w:pPr>
            <w:r w:rsidRPr="00535128">
              <w:rPr>
                <w:rFonts w:ascii="標楷體" w:eastAsia="標楷體" w:hAnsi="標楷體" w:hint="eastAsia"/>
                <w:sz w:val="28"/>
                <w:szCs w:val="28"/>
              </w:rPr>
              <w:t>實際值</w:t>
            </w:r>
            <w:r w:rsidRPr="00535128">
              <w:rPr>
                <w:rFonts w:ascii="標楷體" w:eastAsia="標楷體" w:hAnsi="標楷體"/>
                <w:sz w:val="28"/>
                <w:szCs w:val="28"/>
              </w:rPr>
              <w:t>(Y)</w:t>
            </w:r>
          </w:p>
        </w:tc>
        <w:tc>
          <w:tcPr>
            <w:tcW w:w="1584" w:type="dxa"/>
            <w:vAlign w:val="center"/>
          </w:tcPr>
          <w:p w:rsidR="00514373" w:rsidRPr="00535128" w:rsidRDefault="00514373" w:rsidP="008117B2">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33</w:t>
            </w:r>
          </w:p>
        </w:tc>
        <w:tc>
          <w:tcPr>
            <w:tcW w:w="1585" w:type="dxa"/>
            <w:vAlign w:val="center"/>
          </w:tcPr>
          <w:p w:rsidR="00514373" w:rsidRPr="00535128" w:rsidRDefault="00514373" w:rsidP="008117B2">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8117B2">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8117B2">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r>
      <w:tr w:rsidR="00514373" w:rsidRPr="00535128" w:rsidTr="00622A64">
        <w:trPr>
          <w:trHeight w:val="648"/>
        </w:trPr>
        <w:tc>
          <w:tcPr>
            <w:tcW w:w="1985" w:type="dxa"/>
            <w:vAlign w:val="center"/>
          </w:tcPr>
          <w:p w:rsidR="00514373" w:rsidRPr="00535128" w:rsidRDefault="00514373" w:rsidP="008117B2">
            <w:pPr>
              <w:pStyle w:val="ListParagraph"/>
              <w:widowControl/>
              <w:snapToGrid w:val="0"/>
              <w:ind w:leftChars="0" w:left="0"/>
              <w:jc w:val="center"/>
              <w:rPr>
                <w:rFonts w:ascii="標楷體" w:eastAsia="標楷體" w:hAnsi="標楷體"/>
                <w:sz w:val="28"/>
                <w:szCs w:val="28"/>
              </w:rPr>
            </w:pPr>
            <w:r w:rsidRPr="00535128">
              <w:rPr>
                <w:rFonts w:ascii="標楷體" w:eastAsia="標楷體" w:hAnsi="標楷體" w:hint="eastAsia"/>
                <w:sz w:val="28"/>
                <w:szCs w:val="28"/>
              </w:rPr>
              <w:t>達成度</w:t>
            </w:r>
            <w:r w:rsidRPr="00535128">
              <w:rPr>
                <w:rFonts w:ascii="標楷體" w:eastAsia="標楷體" w:hAnsi="標楷體"/>
                <w:sz w:val="28"/>
                <w:szCs w:val="28"/>
              </w:rPr>
              <w:t>(Y/X)</w:t>
            </w:r>
          </w:p>
        </w:tc>
        <w:tc>
          <w:tcPr>
            <w:tcW w:w="1584" w:type="dxa"/>
            <w:vAlign w:val="center"/>
          </w:tcPr>
          <w:p w:rsidR="00514373" w:rsidRPr="00535128" w:rsidRDefault="00514373" w:rsidP="008117B2">
            <w:pPr>
              <w:pStyle w:val="ListParagraph"/>
              <w:widowControl/>
              <w:snapToGrid w:val="0"/>
              <w:ind w:leftChars="0" w:left="0"/>
              <w:jc w:val="center"/>
              <w:rPr>
                <w:rFonts w:ascii="標楷體" w:eastAsia="標楷體" w:hAnsi="標楷體"/>
                <w:sz w:val="28"/>
                <w:szCs w:val="28"/>
              </w:rPr>
            </w:pPr>
            <w:r w:rsidRPr="00535128">
              <w:rPr>
                <w:rFonts w:ascii="標楷體" w:eastAsia="標楷體" w:hAnsi="標楷體"/>
                <w:sz w:val="28"/>
                <w:szCs w:val="28"/>
              </w:rPr>
              <w:t>132</w:t>
            </w:r>
          </w:p>
        </w:tc>
        <w:tc>
          <w:tcPr>
            <w:tcW w:w="1585" w:type="dxa"/>
            <w:vAlign w:val="center"/>
          </w:tcPr>
          <w:p w:rsidR="00514373" w:rsidRPr="00535128" w:rsidRDefault="00514373" w:rsidP="008117B2">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8117B2">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8117B2">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r>
    </w:tbl>
    <w:p w:rsidR="00514373" w:rsidRPr="00A00C5E" w:rsidRDefault="00514373" w:rsidP="007A0952">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2</w:t>
      </w:r>
      <w:r w:rsidRPr="00535128">
        <w:rPr>
          <w:rFonts w:ascii="標楷體" w:eastAsia="標楷體" w:hAnsi="標楷體" w:hint="eastAsia"/>
          <w:sz w:val="28"/>
          <w:szCs w:val="28"/>
        </w:rPr>
        <w:t>、重要辦理情形：</w:t>
      </w:r>
      <w:r w:rsidRPr="00A00C5E">
        <w:rPr>
          <w:rFonts w:ascii="標楷體" w:eastAsia="標楷體" w:hAnsi="標楷體" w:hint="eastAsia"/>
          <w:sz w:val="28"/>
          <w:szCs w:val="28"/>
        </w:rPr>
        <w:t>查「專家學者建議名單資料庫審議小組設置要點」第</w:t>
      </w:r>
      <w:r w:rsidRPr="00A00C5E">
        <w:rPr>
          <w:rFonts w:ascii="標楷體" w:eastAsia="標楷體" w:hAnsi="標楷體"/>
          <w:sz w:val="28"/>
          <w:szCs w:val="28"/>
        </w:rPr>
        <w:t>3</w:t>
      </w:r>
      <w:r w:rsidRPr="00A00C5E">
        <w:rPr>
          <w:rFonts w:ascii="標楷體" w:eastAsia="標楷體" w:hAnsi="標楷體" w:hint="eastAsia"/>
          <w:sz w:val="28"/>
          <w:szCs w:val="28"/>
        </w:rPr>
        <w:t>點：「審議小組置召集人一人，由本會副主任委員或指定之人員派兼之；委員七人至十一人，除召集人為當然委員外，其餘委員由本會分別就教育部、考選部、其他相關機關及本會之高級人員聘（派）兼之。」</w:t>
      </w:r>
      <w:r>
        <w:rPr>
          <w:rFonts w:ascii="標楷體" w:eastAsia="標楷體" w:hAnsi="標楷體" w:hint="eastAsia"/>
          <w:b/>
          <w:sz w:val="28"/>
          <w:szCs w:val="28"/>
        </w:rPr>
        <w:t>另</w:t>
      </w:r>
      <w:r w:rsidRPr="00C7576F">
        <w:rPr>
          <w:rFonts w:ascii="標楷體" w:eastAsia="標楷體" w:hAnsi="標楷體" w:hint="eastAsia"/>
          <w:sz w:val="28"/>
          <w:szCs w:val="28"/>
        </w:rPr>
        <w:t>查「專家學者建議名單資料庫審議小組」</w:t>
      </w:r>
      <w:r w:rsidRPr="00C7576F">
        <w:rPr>
          <w:rFonts w:ascii="標楷體" w:eastAsia="標楷體" w:hAnsi="標楷體"/>
          <w:sz w:val="28"/>
          <w:szCs w:val="28"/>
        </w:rPr>
        <w:t>(</w:t>
      </w:r>
      <w:r w:rsidRPr="00535128">
        <w:rPr>
          <w:rFonts w:ascii="標楷體" w:eastAsia="標楷體" w:hAnsi="標楷體" w:hint="eastAsia"/>
          <w:sz w:val="28"/>
          <w:szCs w:val="28"/>
        </w:rPr>
        <w:t>下稱</w:t>
      </w:r>
      <w:r>
        <w:rPr>
          <w:rFonts w:ascii="標楷體" w:eastAsia="標楷體" w:hAnsi="標楷體" w:hint="eastAsia"/>
          <w:sz w:val="28"/>
          <w:szCs w:val="28"/>
        </w:rPr>
        <w:t>本</w:t>
      </w:r>
      <w:r w:rsidRPr="00535128">
        <w:rPr>
          <w:rFonts w:ascii="標楷體" w:eastAsia="標楷體" w:hAnsi="標楷體" w:hint="eastAsia"/>
          <w:sz w:val="28"/>
          <w:szCs w:val="28"/>
        </w:rPr>
        <w:t>小組</w:t>
      </w:r>
      <w:r w:rsidRPr="00535128">
        <w:rPr>
          <w:rFonts w:ascii="標楷體" w:eastAsia="標楷體" w:hAnsi="標楷體"/>
          <w:sz w:val="28"/>
          <w:szCs w:val="28"/>
        </w:rPr>
        <w:t>)100</w:t>
      </w:r>
      <w:r w:rsidRPr="00535128">
        <w:rPr>
          <w:rFonts w:ascii="標楷體" w:eastAsia="標楷體" w:hAnsi="標楷體" w:hint="eastAsia"/>
          <w:sz w:val="28"/>
          <w:szCs w:val="28"/>
        </w:rPr>
        <w:t>年、</w:t>
      </w:r>
      <w:r w:rsidRPr="00535128">
        <w:rPr>
          <w:rFonts w:ascii="標楷體" w:eastAsia="標楷體" w:hAnsi="標楷體"/>
          <w:sz w:val="28"/>
          <w:szCs w:val="28"/>
        </w:rPr>
        <w:t>101</w:t>
      </w:r>
      <w:r w:rsidRPr="00535128">
        <w:rPr>
          <w:rFonts w:ascii="標楷體" w:eastAsia="標楷體" w:hAnsi="標楷體" w:hint="eastAsia"/>
          <w:sz w:val="28"/>
          <w:szCs w:val="28"/>
        </w:rPr>
        <w:t>年均為</w:t>
      </w:r>
      <w:r w:rsidRPr="00535128">
        <w:rPr>
          <w:rFonts w:ascii="標楷體" w:eastAsia="標楷體" w:hAnsi="標楷體"/>
          <w:sz w:val="28"/>
          <w:szCs w:val="28"/>
        </w:rPr>
        <w:t>8</w:t>
      </w:r>
      <w:r w:rsidRPr="00535128">
        <w:rPr>
          <w:rFonts w:ascii="標楷體" w:eastAsia="標楷體" w:hAnsi="標楷體" w:hint="eastAsia"/>
          <w:sz w:val="28"/>
          <w:szCs w:val="28"/>
        </w:rPr>
        <w:t>名委員</w:t>
      </w:r>
      <w:r w:rsidRPr="00535128">
        <w:rPr>
          <w:rFonts w:ascii="標楷體" w:eastAsia="標楷體" w:hAnsi="標楷體"/>
          <w:sz w:val="28"/>
          <w:szCs w:val="28"/>
        </w:rPr>
        <w:t>(</w:t>
      </w:r>
      <w:r w:rsidRPr="00535128">
        <w:rPr>
          <w:rFonts w:ascii="標楷體" w:eastAsia="標楷體" w:hAnsi="標楷體" w:hint="eastAsia"/>
          <w:sz w:val="28"/>
          <w:szCs w:val="28"/>
        </w:rPr>
        <w:t>無女性委員</w:t>
      </w:r>
      <w:r w:rsidRPr="00535128">
        <w:rPr>
          <w:rFonts w:ascii="標楷體" w:eastAsia="標楷體" w:hAnsi="標楷體"/>
          <w:sz w:val="28"/>
          <w:szCs w:val="28"/>
        </w:rPr>
        <w:t>)</w:t>
      </w:r>
      <w:r w:rsidRPr="00535128">
        <w:rPr>
          <w:rFonts w:ascii="標楷體" w:eastAsia="標楷體" w:hAnsi="標楷體" w:hint="eastAsia"/>
          <w:sz w:val="28"/>
          <w:szCs w:val="28"/>
        </w:rPr>
        <w:t>，</w:t>
      </w:r>
      <w:r w:rsidRPr="00535128">
        <w:rPr>
          <w:rFonts w:ascii="標楷體" w:eastAsia="標楷體" w:hAnsi="標楷體"/>
          <w:sz w:val="28"/>
          <w:szCs w:val="28"/>
        </w:rPr>
        <w:t>102</w:t>
      </w:r>
      <w:r w:rsidRPr="00535128">
        <w:rPr>
          <w:rFonts w:ascii="標楷體" w:eastAsia="標楷體" w:hAnsi="標楷體" w:hint="eastAsia"/>
          <w:sz w:val="28"/>
          <w:szCs w:val="28"/>
        </w:rPr>
        <w:t>年起已增加</w:t>
      </w:r>
      <w:r w:rsidRPr="00535128">
        <w:rPr>
          <w:rFonts w:ascii="標楷體" w:eastAsia="標楷體" w:hAnsi="標楷體"/>
          <w:sz w:val="28"/>
          <w:szCs w:val="28"/>
        </w:rPr>
        <w:t>1</w:t>
      </w:r>
      <w:r w:rsidRPr="00535128">
        <w:rPr>
          <w:rFonts w:ascii="標楷體" w:eastAsia="標楷體" w:hAnsi="標楷體" w:hint="eastAsia"/>
          <w:sz w:val="28"/>
          <w:szCs w:val="28"/>
        </w:rPr>
        <w:t>名女性委員</w:t>
      </w:r>
      <w:r w:rsidRPr="00535128">
        <w:rPr>
          <w:rFonts w:ascii="標楷體" w:eastAsia="標楷體" w:hAnsi="標楷體"/>
          <w:sz w:val="28"/>
          <w:szCs w:val="28"/>
        </w:rPr>
        <w:t>(</w:t>
      </w:r>
      <w:r w:rsidRPr="00535128">
        <w:rPr>
          <w:rFonts w:ascii="標楷體" w:eastAsia="標楷體" w:hAnsi="標楷體" w:hint="eastAsia"/>
          <w:sz w:val="28"/>
          <w:szCs w:val="28"/>
        </w:rPr>
        <w:t>占</w:t>
      </w:r>
      <w:r w:rsidRPr="00535128">
        <w:rPr>
          <w:rFonts w:ascii="標楷體" w:eastAsia="標楷體" w:hAnsi="標楷體"/>
          <w:sz w:val="28"/>
          <w:szCs w:val="28"/>
        </w:rPr>
        <w:t>12.5%)</w:t>
      </w:r>
      <w:r w:rsidRPr="00535128">
        <w:rPr>
          <w:rFonts w:ascii="標楷體" w:eastAsia="標楷體" w:hAnsi="標楷體" w:hint="eastAsia"/>
          <w:sz w:val="28"/>
          <w:szCs w:val="28"/>
        </w:rPr>
        <w:t>，為落實</w:t>
      </w:r>
      <w:r w:rsidRPr="00A00C5E">
        <w:rPr>
          <w:rFonts w:ascii="標楷體" w:eastAsia="標楷體" w:hAnsi="標楷體" w:hint="eastAsia"/>
          <w:sz w:val="28"/>
          <w:szCs w:val="28"/>
        </w:rPr>
        <w:t>性別主流化政策，本小組委員總人數自</w:t>
      </w:r>
      <w:r w:rsidRPr="00A00C5E">
        <w:rPr>
          <w:rFonts w:ascii="標楷體" w:eastAsia="標楷體" w:hAnsi="標楷體"/>
          <w:sz w:val="28"/>
          <w:szCs w:val="28"/>
        </w:rPr>
        <w:t>103</w:t>
      </w:r>
      <w:r w:rsidRPr="00A00C5E">
        <w:rPr>
          <w:rFonts w:ascii="標楷體" w:eastAsia="標楷體" w:hAnsi="標楷體" w:hint="eastAsia"/>
          <w:sz w:val="28"/>
          <w:szCs w:val="28"/>
        </w:rPr>
        <w:t>年度由</w:t>
      </w:r>
      <w:r w:rsidRPr="00A00C5E">
        <w:rPr>
          <w:rFonts w:ascii="標楷體" w:eastAsia="標楷體" w:hAnsi="標楷體"/>
          <w:sz w:val="28"/>
          <w:szCs w:val="28"/>
        </w:rPr>
        <w:t>8</w:t>
      </w:r>
      <w:r w:rsidRPr="00A00C5E">
        <w:rPr>
          <w:rFonts w:ascii="標楷體" w:eastAsia="標楷體" w:hAnsi="標楷體" w:hint="eastAsia"/>
          <w:sz w:val="28"/>
          <w:szCs w:val="28"/>
        </w:rPr>
        <w:t>人提升至</w:t>
      </w:r>
      <w:r w:rsidRPr="00A00C5E">
        <w:rPr>
          <w:rFonts w:ascii="標楷體" w:eastAsia="標楷體" w:hAnsi="標楷體"/>
          <w:sz w:val="28"/>
          <w:szCs w:val="28"/>
        </w:rPr>
        <w:t>9</w:t>
      </w:r>
      <w:r w:rsidRPr="00A00C5E">
        <w:rPr>
          <w:rFonts w:ascii="標楷體" w:eastAsia="標楷體" w:hAnsi="標楷體" w:hint="eastAsia"/>
          <w:sz w:val="28"/>
          <w:szCs w:val="28"/>
        </w:rPr>
        <w:t>人（外聘委員包括法務部、教育部、考選部及行政院人事行政總處之高級人員各</w:t>
      </w:r>
      <w:r w:rsidRPr="00A00C5E">
        <w:rPr>
          <w:rFonts w:ascii="標楷體" w:eastAsia="標楷體" w:hAnsi="標楷體"/>
          <w:sz w:val="28"/>
          <w:szCs w:val="28"/>
        </w:rPr>
        <w:t>1</w:t>
      </w:r>
      <w:r w:rsidRPr="00A00C5E">
        <w:rPr>
          <w:rFonts w:ascii="標楷體" w:eastAsia="標楷體" w:hAnsi="標楷體" w:hint="eastAsia"/>
          <w:sz w:val="28"/>
          <w:szCs w:val="28"/>
        </w:rPr>
        <w:t>人），其中</w:t>
      </w:r>
      <w:r w:rsidRPr="00A00C5E">
        <w:rPr>
          <w:rFonts w:ascii="標楷體" w:eastAsia="標楷體" w:hAnsi="標楷體"/>
          <w:sz w:val="28"/>
          <w:szCs w:val="28"/>
        </w:rPr>
        <w:t>3</w:t>
      </w:r>
      <w:r w:rsidRPr="00A00C5E">
        <w:rPr>
          <w:rFonts w:ascii="標楷體" w:eastAsia="標楷體" w:hAnsi="標楷體" w:hint="eastAsia"/>
          <w:sz w:val="28"/>
          <w:szCs w:val="28"/>
        </w:rPr>
        <w:t>位為女性（均由本會高級人員派兼之），女性比率</w:t>
      </w:r>
      <w:r w:rsidRPr="00A00C5E">
        <w:rPr>
          <w:rFonts w:ascii="標楷體" w:eastAsia="標楷體" w:hAnsi="標楷體"/>
          <w:sz w:val="28"/>
          <w:szCs w:val="28"/>
        </w:rPr>
        <w:t>33%</w:t>
      </w:r>
      <w:r w:rsidRPr="00A00C5E">
        <w:rPr>
          <w:rFonts w:ascii="標楷體" w:eastAsia="標楷體" w:hAnsi="標楷體" w:hint="eastAsia"/>
          <w:sz w:val="28"/>
          <w:szCs w:val="28"/>
        </w:rPr>
        <w:t>，已達成</w:t>
      </w:r>
      <w:r w:rsidRPr="00A00C5E">
        <w:rPr>
          <w:rFonts w:ascii="標楷體" w:eastAsia="標楷體" w:hAnsi="標楷體"/>
          <w:sz w:val="28"/>
          <w:szCs w:val="28"/>
        </w:rPr>
        <w:t>103</w:t>
      </w:r>
      <w:r w:rsidRPr="00A00C5E">
        <w:rPr>
          <w:rFonts w:ascii="標楷體" w:eastAsia="標楷體" w:hAnsi="標楷體" w:hint="eastAsia"/>
          <w:sz w:val="28"/>
          <w:szCs w:val="28"/>
        </w:rPr>
        <w:t>年預定目標</w:t>
      </w:r>
      <w:r w:rsidRPr="00A00C5E">
        <w:rPr>
          <w:rFonts w:ascii="標楷體" w:eastAsia="標楷體" w:hAnsi="標楷體"/>
          <w:sz w:val="28"/>
          <w:szCs w:val="28"/>
        </w:rPr>
        <w:t>25%</w:t>
      </w:r>
      <w:r w:rsidRPr="00A00C5E">
        <w:rPr>
          <w:rFonts w:ascii="標楷體" w:eastAsia="標楷體" w:hAnsi="標楷體" w:hint="eastAsia"/>
          <w:sz w:val="28"/>
          <w:szCs w:val="28"/>
        </w:rPr>
        <w:t>。</w:t>
      </w:r>
    </w:p>
    <w:p w:rsidR="00514373" w:rsidRPr="00A00C5E" w:rsidRDefault="00514373" w:rsidP="007A0952">
      <w:pPr>
        <w:widowControl/>
        <w:snapToGrid w:val="0"/>
        <w:spacing w:line="500" w:lineRule="atLeast"/>
        <w:ind w:leftChars="320" w:left="1230" w:hangingChars="165" w:hanging="462"/>
        <w:rPr>
          <w:rFonts w:ascii="標楷體" w:eastAsia="標楷體" w:hAnsi="標楷體"/>
          <w:sz w:val="28"/>
          <w:szCs w:val="28"/>
        </w:rPr>
      </w:pPr>
      <w:r w:rsidRPr="00A00C5E">
        <w:rPr>
          <w:rFonts w:ascii="標楷體" w:eastAsia="標楷體" w:hAnsi="標楷體"/>
          <w:sz w:val="28"/>
          <w:szCs w:val="28"/>
        </w:rPr>
        <w:t>3</w:t>
      </w:r>
      <w:r w:rsidRPr="00A00C5E">
        <w:rPr>
          <w:rFonts w:ascii="標楷體" w:eastAsia="標楷體" w:hAnsi="標楷體" w:hint="eastAsia"/>
          <w:sz w:val="28"/>
          <w:szCs w:val="28"/>
        </w:rPr>
        <w:t>、檢討及策進作為：已達成年度目標，未來持續維持本小組委員任一性別比例不低於三分之一。</w:t>
      </w:r>
    </w:p>
    <w:p w:rsidR="00514373" w:rsidRPr="00535128" w:rsidRDefault="00514373" w:rsidP="007A0952">
      <w:pPr>
        <w:pStyle w:val="ListParagraph"/>
        <w:widowControl/>
        <w:snapToGrid w:val="0"/>
        <w:spacing w:line="500" w:lineRule="atLeast"/>
        <w:ind w:leftChars="140" w:left="3402" w:hangingChars="1094" w:hanging="3066"/>
        <w:jc w:val="both"/>
        <w:rPr>
          <w:rFonts w:ascii="標楷體" w:eastAsia="標楷體" w:hAnsi="標楷體"/>
          <w:b/>
          <w:sz w:val="28"/>
          <w:szCs w:val="28"/>
        </w:rPr>
      </w:pPr>
      <w:r w:rsidRPr="00535128">
        <w:rPr>
          <w:rFonts w:ascii="標楷體" w:eastAsia="標楷體" w:hAnsi="標楷體" w:hint="eastAsia"/>
          <w:b/>
          <w:sz w:val="28"/>
          <w:szCs w:val="28"/>
        </w:rPr>
        <w:t>（二）關鍵績效指標</w:t>
      </w:r>
      <w:r w:rsidRPr="00535128">
        <w:rPr>
          <w:rFonts w:ascii="標楷體" w:eastAsia="標楷體" w:hAnsi="標楷體"/>
          <w:b/>
          <w:sz w:val="28"/>
          <w:szCs w:val="28"/>
        </w:rPr>
        <w:t>2</w:t>
      </w:r>
      <w:r w:rsidRPr="00535128">
        <w:rPr>
          <w:rFonts w:ascii="標楷體" w:eastAsia="標楷體" w:hAnsi="標楷體" w:hint="eastAsia"/>
          <w:b/>
          <w:sz w:val="28"/>
          <w:szCs w:val="28"/>
        </w:rPr>
        <w:t>：女性人員參與公共工程基本設計審議業務比率</w:t>
      </w:r>
    </w:p>
    <w:p w:rsidR="00514373" w:rsidRPr="00535128" w:rsidRDefault="00514373" w:rsidP="007A0952">
      <w:pPr>
        <w:widowControl/>
        <w:snapToGrid w:val="0"/>
        <w:spacing w:line="500" w:lineRule="atLeast"/>
        <w:ind w:leftChars="321" w:left="1529" w:hangingChars="271" w:hanging="759"/>
        <w:rPr>
          <w:rFonts w:ascii="標楷體" w:eastAsia="標楷體" w:hAnsi="標楷體"/>
          <w:sz w:val="28"/>
          <w:szCs w:val="28"/>
        </w:rPr>
      </w:pPr>
      <w:r w:rsidRPr="00535128">
        <w:rPr>
          <w:rFonts w:ascii="標楷體" w:eastAsia="標楷體" w:hAnsi="標楷體"/>
          <w:sz w:val="28"/>
          <w:szCs w:val="28"/>
        </w:rPr>
        <w:t>1</w:t>
      </w:r>
      <w:r w:rsidRPr="00535128">
        <w:rPr>
          <w:rFonts w:ascii="標楷體" w:eastAsia="標楷體" w:hAnsi="標楷體" w:hint="eastAsia"/>
          <w:sz w:val="28"/>
          <w:szCs w:val="28"/>
        </w:rPr>
        <w:t>、目標達成情形</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1584"/>
        <w:gridCol w:w="1585"/>
        <w:gridCol w:w="1585"/>
        <w:gridCol w:w="1585"/>
      </w:tblGrid>
      <w:tr w:rsidR="00514373" w:rsidRPr="00535128" w:rsidTr="00622A64">
        <w:tc>
          <w:tcPr>
            <w:tcW w:w="1985" w:type="dxa"/>
            <w:tcBorders>
              <w:tl2br w:val="single" w:sz="4" w:space="0" w:color="auto"/>
            </w:tcBorders>
            <w:vAlign w:val="bottom"/>
          </w:tcPr>
          <w:p w:rsidR="00514373" w:rsidRPr="00535128" w:rsidRDefault="00514373" w:rsidP="007A0952">
            <w:pPr>
              <w:pStyle w:val="ListParagraph"/>
              <w:widowControl/>
              <w:snapToGrid w:val="0"/>
              <w:spacing w:line="500" w:lineRule="atLeast"/>
              <w:ind w:leftChars="0" w:left="0"/>
              <w:jc w:val="right"/>
              <w:rPr>
                <w:rFonts w:ascii="標楷體" w:eastAsia="標楷體" w:hAnsi="標楷體"/>
                <w:sz w:val="28"/>
                <w:szCs w:val="28"/>
              </w:rPr>
            </w:pPr>
            <w:r w:rsidRPr="00535128">
              <w:rPr>
                <w:rFonts w:ascii="標楷體" w:eastAsia="標楷體" w:hAnsi="標楷體" w:hint="eastAsia"/>
                <w:sz w:val="28"/>
                <w:szCs w:val="28"/>
              </w:rPr>
              <w:t>年度</w:t>
            </w:r>
          </w:p>
          <w:p w:rsidR="00514373" w:rsidRPr="00535128" w:rsidRDefault="00514373" w:rsidP="007A0952">
            <w:pPr>
              <w:pStyle w:val="ListParagraph"/>
              <w:widowControl/>
              <w:snapToGrid w:val="0"/>
              <w:spacing w:line="500" w:lineRule="atLeast"/>
              <w:ind w:leftChars="0" w:left="0"/>
              <w:rPr>
                <w:rFonts w:ascii="標楷體" w:eastAsia="標楷體" w:hAnsi="標楷體"/>
                <w:sz w:val="28"/>
                <w:szCs w:val="28"/>
              </w:rPr>
            </w:pPr>
            <w:r w:rsidRPr="00535128">
              <w:rPr>
                <w:rFonts w:ascii="標楷體" w:eastAsia="標楷體" w:hAnsi="標楷體" w:hint="eastAsia"/>
                <w:sz w:val="28"/>
                <w:szCs w:val="28"/>
              </w:rPr>
              <w:t>項目</w:t>
            </w:r>
          </w:p>
        </w:tc>
        <w:tc>
          <w:tcPr>
            <w:tcW w:w="1584"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103</w:t>
            </w:r>
            <w:r w:rsidRPr="00535128">
              <w:rPr>
                <w:rFonts w:ascii="標楷體" w:eastAsia="標楷體" w:hAnsi="標楷體" w:hint="eastAsia"/>
                <w:sz w:val="28"/>
                <w:szCs w:val="28"/>
              </w:rPr>
              <w:t>年</w:t>
            </w:r>
          </w:p>
        </w:tc>
        <w:tc>
          <w:tcPr>
            <w:tcW w:w="158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104</w:t>
            </w:r>
            <w:r w:rsidRPr="00535128">
              <w:rPr>
                <w:rFonts w:ascii="標楷體" w:eastAsia="標楷體" w:hAnsi="標楷體" w:hint="eastAsia"/>
                <w:sz w:val="28"/>
                <w:szCs w:val="28"/>
              </w:rPr>
              <w:t>年</w:t>
            </w:r>
          </w:p>
        </w:tc>
        <w:tc>
          <w:tcPr>
            <w:tcW w:w="158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105</w:t>
            </w:r>
            <w:r w:rsidRPr="00535128">
              <w:rPr>
                <w:rFonts w:ascii="標楷體" w:eastAsia="標楷體" w:hAnsi="標楷體" w:hint="eastAsia"/>
                <w:sz w:val="28"/>
                <w:szCs w:val="28"/>
              </w:rPr>
              <w:t>年</w:t>
            </w:r>
          </w:p>
        </w:tc>
        <w:tc>
          <w:tcPr>
            <w:tcW w:w="158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106</w:t>
            </w:r>
            <w:r w:rsidRPr="00535128">
              <w:rPr>
                <w:rFonts w:ascii="標楷體" w:eastAsia="標楷體" w:hAnsi="標楷體" w:hint="eastAsia"/>
                <w:sz w:val="28"/>
                <w:szCs w:val="28"/>
              </w:rPr>
              <w:t>年</w:t>
            </w:r>
          </w:p>
        </w:tc>
      </w:tr>
      <w:tr w:rsidR="00514373" w:rsidRPr="00535128" w:rsidTr="00622A64">
        <w:tc>
          <w:tcPr>
            <w:tcW w:w="1985" w:type="dxa"/>
            <w:vAlign w:val="center"/>
          </w:tcPr>
          <w:p w:rsidR="00514373" w:rsidRPr="00535128" w:rsidRDefault="00514373" w:rsidP="008117B2">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衡量標準</w:t>
            </w:r>
          </w:p>
        </w:tc>
        <w:tc>
          <w:tcPr>
            <w:tcW w:w="6339" w:type="dxa"/>
            <w:gridSpan w:val="4"/>
            <w:vAlign w:val="center"/>
          </w:tcPr>
          <w:p w:rsidR="00514373" w:rsidRPr="00535128" w:rsidRDefault="00514373" w:rsidP="008117B2">
            <w:pPr>
              <w:pStyle w:val="ListParagraph"/>
              <w:widowControl/>
              <w:snapToGrid w:val="0"/>
              <w:ind w:leftChars="0" w:left="0"/>
              <w:jc w:val="both"/>
              <w:rPr>
                <w:rFonts w:ascii="標楷體" w:eastAsia="標楷體" w:hAnsi="標楷體"/>
                <w:b/>
                <w:sz w:val="28"/>
                <w:szCs w:val="28"/>
              </w:rPr>
            </w:pPr>
            <w:r w:rsidRPr="00535128">
              <w:rPr>
                <w:rFonts w:ascii="標楷體" w:eastAsia="標楷體" w:hAnsi="標楷體" w:hint="eastAsia"/>
                <w:b/>
                <w:sz w:val="28"/>
                <w:szCs w:val="28"/>
              </w:rPr>
              <w:t>當年度女性人員參與公共工程基本設計審議業務比率</w:t>
            </w:r>
          </w:p>
        </w:tc>
      </w:tr>
      <w:tr w:rsidR="00514373" w:rsidRPr="00535128" w:rsidTr="00622A64">
        <w:trPr>
          <w:trHeight w:val="540"/>
        </w:trPr>
        <w:tc>
          <w:tcPr>
            <w:tcW w:w="1985" w:type="dxa"/>
            <w:vAlign w:val="center"/>
          </w:tcPr>
          <w:p w:rsidR="00514373" w:rsidRPr="00535128" w:rsidRDefault="00514373" w:rsidP="008117B2">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目標值</w:t>
            </w:r>
            <w:r w:rsidRPr="00535128">
              <w:rPr>
                <w:rFonts w:ascii="標楷體" w:eastAsia="標楷體" w:hAnsi="標楷體"/>
                <w:sz w:val="28"/>
                <w:szCs w:val="28"/>
              </w:rPr>
              <w:t>(X)</w:t>
            </w:r>
          </w:p>
        </w:tc>
        <w:tc>
          <w:tcPr>
            <w:tcW w:w="1584" w:type="dxa"/>
            <w:vAlign w:val="center"/>
          </w:tcPr>
          <w:p w:rsidR="00514373" w:rsidRPr="00535128" w:rsidRDefault="00514373" w:rsidP="008117B2">
            <w:pPr>
              <w:snapToGrid w:val="0"/>
              <w:jc w:val="center"/>
              <w:rPr>
                <w:rFonts w:ascii="標楷體" w:eastAsia="標楷體" w:hAnsi="標楷體"/>
                <w:sz w:val="28"/>
                <w:szCs w:val="28"/>
              </w:rPr>
            </w:pPr>
            <w:r w:rsidRPr="00535128">
              <w:rPr>
                <w:rFonts w:ascii="標楷體" w:eastAsia="標楷體" w:hAnsi="標楷體"/>
                <w:sz w:val="28"/>
                <w:szCs w:val="28"/>
              </w:rPr>
              <w:t>3</w:t>
            </w:r>
          </w:p>
        </w:tc>
        <w:tc>
          <w:tcPr>
            <w:tcW w:w="1585" w:type="dxa"/>
            <w:vAlign w:val="center"/>
          </w:tcPr>
          <w:p w:rsidR="00514373" w:rsidRPr="00535128" w:rsidRDefault="00514373" w:rsidP="008117B2">
            <w:pPr>
              <w:snapToGrid w:val="0"/>
              <w:jc w:val="center"/>
              <w:rPr>
                <w:rFonts w:ascii="標楷體" w:eastAsia="標楷體" w:hAnsi="標楷體"/>
                <w:sz w:val="28"/>
                <w:szCs w:val="28"/>
              </w:rPr>
            </w:pPr>
            <w:r w:rsidRPr="00535128">
              <w:rPr>
                <w:rFonts w:ascii="標楷體" w:eastAsia="標楷體" w:hAnsi="標楷體"/>
                <w:sz w:val="28"/>
                <w:szCs w:val="28"/>
              </w:rPr>
              <w:t>6</w:t>
            </w:r>
          </w:p>
        </w:tc>
        <w:tc>
          <w:tcPr>
            <w:tcW w:w="1585" w:type="dxa"/>
            <w:vAlign w:val="center"/>
          </w:tcPr>
          <w:p w:rsidR="00514373" w:rsidRPr="00535128" w:rsidRDefault="00514373" w:rsidP="008117B2">
            <w:pPr>
              <w:snapToGrid w:val="0"/>
              <w:jc w:val="center"/>
              <w:rPr>
                <w:rFonts w:ascii="標楷體" w:eastAsia="標楷體" w:hAnsi="標楷體"/>
                <w:sz w:val="28"/>
                <w:szCs w:val="28"/>
              </w:rPr>
            </w:pPr>
            <w:r w:rsidRPr="00535128">
              <w:rPr>
                <w:rFonts w:ascii="標楷體" w:eastAsia="標楷體" w:hAnsi="標楷體"/>
                <w:sz w:val="28"/>
                <w:szCs w:val="28"/>
              </w:rPr>
              <w:t>9</w:t>
            </w:r>
          </w:p>
        </w:tc>
        <w:tc>
          <w:tcPr>
            <w:tcW w:w="1585" w:type="dxa"/>
            <w:vAlign w:val="center"/>
          </w:tcPr>
          <w:p w:rsidR="00514373" w:rsidRPr="00535128" w:rsidRDefault="00514373" w:rsidP="008117B2">
            <w:pPr>
              <w:snapToGrid w:val="0"/>
              <w:jc w:val="center"/>
              <w:rPr>
                <w:rFonts w:ascii="標楷體" w:eastAsia="標楷體" w:hAnsi="標楷體"/>
                <w:sz w:val="28"/>
                <w:szCs w:val="28"/>
              </w:rPr>
            </w:pPr>
            <w:r w:rsidRPr="00535128">
              <w:rPr>
                <w:rFonts w:ascii="標楷體" w:eastAsia="標楷體" w:hAnsi="標楷體"/>
                <w:sz w:val="28"/>
                <w:szCs w:val="28"/>
              </w:rPr>
              <w:t>12</w:t>
            </w:r>
          </w:p>
        </w:tc>
      </w:tr>
      <w:tr w:rsidR="00514373" w:rsidRPr="00535128" w:rsidTr="00622A64">
        <w:trPr>
          <w:trHeight w:val="540"/>
        </w:trPr>
        <w:tc>
          <w:tcPr>
            <w:tcW w:w="1985" w:type="dxa"/>
            <w:vAlign w:val="center"/>
          </w:tcPr>
          <w:p w:rsidR="00514373" w:rsidRPr="00535128" w:rsidRDefault="00514373" w:rsidP="008117B2">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實際值</w:t>
            </w:r>
            <w:r w:rsidRPr="00535128">
              <w:rPr>
                <w:rFonts w:ascii="標楷體" w:eastAsia="標楷體" w:hAnsi="標楷體"/>
                <w:sz w:val="28"/>
                <w:szCs w:val="28"/>
              </w:rPr>
              <w:t>(Y)</w:t>
            </w:r>
          </w:p>
        </w:tc>
        <w:tc>
          <w:tcPr>
            <w:tcW w:w="1584" w:type="dxa"/>
            <w:vAlign w:val="center"/>
          </w:tcPr>
          <w:p w:rsidR="00514373" w:rsidRPr="00535128" w:rsidRDefault="00514373" w:rsidP="008117B2">
            <w:pPr>
              <w:pStyle w:val="ListParagraph"/>
              <w:widowControl/>
              <w:snapToGrid w:val="0"/>
              <w:ind w:leftChars="0" w:left="0"/>
              <w:jc w:val="center"/>
              <w:rPr>
                <w:rFonts w:ascii="標楷體" w:eastAsia="標楷體" w:hAnsi="標楷體"/>
                <w:sz w:val="28"/>
                <w:szCs w:val="28"/>
              </w:rPr>
            </w:pPr>
            <w:r w:rsidRPr="00535128">
              <w:rPr>
                <w:rFonts w:ascii="標楷體" w:eastAsia="標楷體" w:hAnsi="標楷體"/>
                <w:sz w:val="28"/>
                <w:szCs w:val="28"/>
              </w:rPr>
              <w:t>5.56</w:t>
            </w:r>
          </w:p>
        </w:tc>
        <w:tc>
          <w:tcPr>
            <w:tcW w:w="1585" w:type="dxa"/>
            <w:vAlign w:val="center"/>
          </w:tcPr>
          <w:p w:rsidR="00514373" w:rsidRPr="00535128" w:rsidRDefault="00514373" w:rsidP="008117B2">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8117B2">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8117B2">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r>
      <w:tr w:rsidR="00514373" w:rsidRPr="00535128" w:rsidTr="00622A64">
        <w:trPr>
          <w:trHeight w:val="540"/>
        </w:trPr>
        <w:tc>
          <w:tcPr>
            <w:tcW w:w="1985" w:type="dxa"/>
            <w:vAlign w:val="center"/>
          </w:tcPr>
          <w:p w:rsidR="00514373" w:rsidRPr="00535128" w:rsidRDefault="00514373" w:rsidP="008117B2">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達成度</w:t>
            </w:r>
            <w:r w:rsidRPr="00535128">
              <w:rPr>
                <w:rFonts w:ascii="標楷體" w:eastAsia="標楷體" w:hAnsi="標楷體"/>
                <w:sz w:val="28"/>
                <w:szCs w:val="28"/>
              </w:rPr>
              <w:t>(Y/X)</w:t>
            </w:r>
          </w:p>
        </w:tc>
        <w:tc>
          <w:tcPr>
            <w:tcW w:w="1584" w:type="dxa"/>
            <w:vAlign w:val="center"/>
          </w:tcPr>
          <w:p w:rsidR="00514373" w:rsidRPr="00535128" w:rsidRDefault="00514373" w:rsidP="008117B2">
            <w:pPr>
              <w:pStyle w:val="ListParagraph"/>
              <w:widowControl/>
              <w:snapToGrid w:val="0"/>
              <w:ind w:leftChars="0" w:left="0"/>
              <w:jc w:val="center"/>
              <w:rPr>
                <w:rFonts w:ascii="標楷體" w:eastAsia="標楷體" w:hAnsi="標楷體"/>
                <w:sz w:val="28"/>
                <w:szCs w:val="28"/>
              </w:rPr>
            </w:pPr>
            <w:r w:rsidRPr="00535128">
              <w:rPr>
                <w:rFonts w:ascii="標楷體" w:eastAsia="標楷體" w:hAnsi="標楷體"/>
                <w:sz w:val="28"/>
                <w:szCs w:val="28"/>
              </w:rPr>
              <w:t>185</w:t>
            </w:r>
          </w:p>
        </w:tc>
        <w:tc>
          <w:tcPr>
            <w:tcW w:w="1585" w:type="dxa"/>
            <w:vAlign w:val="center"/>
          </w:tcPr>
          <w:p w:rsidR="00514373" w:rsidRPr="00535128" w:rsidRDefault="00514373" w:rsidP="008117B2">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8117B2">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8117B2">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r>
    </w:tbl>
    <w:p w:rsidR="00514373" w:rsidRPr="00535128" w:rsidRDefault="00514373" w:rsidP="007A0952">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2</w:t>
      </w:r>
      <w:r w:rsidRPr="00535128">
        <w:rPr>
          <w:rFonts w:ascii="標楷體" w:eastAsia="標楷體" w:hAnsi="標楷體" w:hint="eastAsia"/>
          <w:sz w:val="28"/>
          <w:szCs w:val="28"/>
        </w:rPr>
        <w:t>、重要辦理情形：工程專業領域之女性人數原本即較男性少，且基本設計審議業務需配合辦理現地勘查工作，地點常位於偏遠之山區，工作環境與個人意願等因素，致女性參與比率較低。</w:t>
      </w:r>
      <w:r w:rsidRPr="00535128">
        <w:rPr>
          <w:rFonts w:ascii="標楷體" w:eastAsia="標楷體" w:hAnsi="標楷體"/>
          <w:sz w:val="28"/>
          <w:szCs w:val="28"/>
        </w:rPr>
        <w:t>103</w:t>
      </w:r>
      <w:r w:rsidRPr="00535128">
        <w:rPr>
          <w:rFonts w:ascii="標楷體" w:eastAsia="標楷體" w:hAnsi="標楷體" w:hint="eastAsia"/>
          <w:sz w:val="28"/>
          <w:szCs w:val="28"/>
        </w:rPr>
        <w:t>年業盡可能邀請女性人員參與基本設計審議，實際參與比率</w:t>
      </w:r>
      <w:r w:rsidRPr="00535128">
        <w:rPr>
          <w:rFonts w:ascii="標楷體" w:eastAsia="標楷體" w:hAnsi="標楷體"/>
          <w:sz w:val="28"/>
          <w:szCs w:val="28"/>
        </w:rPr>
        <w:t>5.56%</w:t>
      </w:r>
      <w:r w:rsidRPr="00535128">
        <w:rPr>
          <w:rFonts w:ascii="標楷體" w:eastAsia="標楷體" w:hAnsi="標楷體" w:hint="eastAsia"/>
          <w:sz w:val="28"/>
          <w:szCs w:val="28"/>
        </w:rPr>
        <w:t>，已超過原訂目標值</w:t>
      </w:r>
      <w:r w:rsidRPr="00535128">
        <w:rPr>
          <w:rFonts w:ascii="標楷體" w:eastAsia="標楷體" w:hAnsi="標楷體"/>
          <w:sz w:val="28"/>
          <w:szCs w:val="28"/>
        </w:rPr>
        <w:t>3%</w:t>
      </w:r>
      <w:r w:rsidRPr="00535128">
        <w:rPr>
          <w:rFonts w:ascii="標楷體" w:eastAsia="標楷體" w:hAnsi="標楷體" w:hint="eastAsia"/>
          <w:sz w:val="28"/>
          <w:szCs w:val="28"/>
        </w:rPr>
        <w:t>。</w:t>
      </w:r>
    </w:p>
    <w:p w:rsidR="00514373" w:rsidRPr="00535128" w:rsidRDefault="00514373" w:rsidP="007A0952">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3</w:t>
      </w:r>
      <w:r w:rsidRPr="00535128">
        <w:rPr>
          <w:rFonts w:ascii="標楷體" w:eastAsia="標楷體" w:hAnsi="標楷體" w:hint="eastAsia"/>
          <w:sz w:val="28"/>
          <w:szCs w:val="28"/>
        </w:rPr>
        <w:t>、檢討及策進作為：於遴選審議委員時，持續依工程特性遴選女性人員參與。</w:t>
      </w:r>
    </w:p>
    <w:p w:rsidR="00514373" w:rsidRPr="00535128" w:rsidRDefault="00514373" w:rsidP="009D4068">
      <w:pPr>
        <w:pStyle w:val="ListParagraph"/>
        <w:widowControl/>
        <w:snapToGrid w:val="0"/>
        <w:spacing w:line="500" w:lineRule="atLeast"/>
        <w:ind w:leftChars="141" w:left="3334" w:rightChars="-184" w:right="-442" w:hangingChars="1069" w:hanging="2996"/>
        <w:rPr>
          <w:rFonts w:ascii="標楷體" w:eastAsia="標楷體" w:hAnsi="標楷體"/>
          <w:b/>
          <w:sz w:val="28"/>
          <w:szCs w:val="28"/>
        </w:rPr>
      </w:pPr>
      <w:r w:rsidRPr="00535128">
        <w:rPr>
          <w:rFonts w:ascii="標楷體" w:eastAsia="標楷體" w:hAnsi="標楷體" w:hint="eastAsia"/>
          <w:b/>
          <w:sz w:val="28"/>
          <w:szCs w:val="28"/>
        </w:rPr>
        <w:t>（三）關鍵績效指標</w:t>
      </w:r>
      <w:r w:rsidRPr="00535128">
        <w:rPr>
          <w:rFonts w:ascii="標楷體" w:eastAsia="標楷體" w:hAnsi="標楷體"/>
          <w:b/>
          <w:sz w:val="28"/>
          <w:szCs w:val="28"/>
        </w:rPr>
        <w:t>3</w:t>
      </w:r>
      <w:r w:rsidRPr="00535128">
        <w:rPr>
          <w:rFonts w:ascii="標楷體" w:eastAsia="標楷體" w:hAnsi="標楷體" w:hint="eastAsia"/>
          <w:b/>
          <w:sz w:val="28"/>
          <w:szCs w:val="28"/>
        </w:rPr>
        <w:t>：女性查核委員參加施工查核作業之情形</w:t>
      </w:r>
    </w:p>
    <w:p w:rsidR="00514373" w:rsidRPr="00535128" w:rsidRDefault="00514373" w:rsidP="007A0952">
      <w:pPr>
        <w:widowControl/>
        <w:snapToGrid w:val="0"/>
        <w:spacing w:line="500" w:lineRule="atLeast"/>
        <w:ind w:leftChars="321" w:left="1529" w:hangingChars="271" w:hanging="759"/>
        <w:rPr>
          <w:rFonts w:ascii="標楷體" w:eastAsia="標楷體" w:hAnsi="標楷體"/>
          <w:sz w:val="28"/>
          <w:szCs w:val="28"/>
        </w:rPr>
      </w:pPr>
      <w:r w:rsidRPr="00535128">
        <w:rPr>
          <w:rFonts w:ascii="標楷體" w:eastAsia="標楷體" w:hAnsi="標楷體"/>
          <w:sz w:val="28"/>
          <w:szCs w:val="28"/>
        </w:rPr>
        <w:t>1</w:t>
      </w:r>
      <w:r w:rsidRPr="00535128">
        <w:rPr>
          <w:rFonts w:ascii="標楷體" w:eastAsia="標楷體" w:hAnsi="標楷體" w:hint="eastAsia"/>
          <w:sz w:val="28"/>
          <w:szCs w:val="28"/>
        </w:rPr>
        <w:t>、目標達成情形</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1584"/>
        <w:gridCol w:w="1585"/>
        <w:gridCol w:w="1585"/>
        <w:gridCol w:w="1585"/>
      </w:tblGrid>
      <w:tr w:rsidR="00514373" w:rsidRPr="00535128" w:rsidTr="00622A64">
        <w:trPr>
          <w:tblHeader/>
        </w:trPr>
        <w:tc>
          <w:tcPr>
            <w:tcW w:w="1985" w:type="dxa"/>
            <w:tcBorders>
              <w:tl2br w:val="single" w:sz="4" w:space="0" w:color="auto"/>
            </w:tcBorders>
            <w:vAlign w:val="bottom"/>
          </w:tcPr>
          <w:p w:rsidR="00514373" w:rsidRPr="00535128" w:rsidRDefault="00514373" w:rsidP="009D4068">
            <w:pPr>
              <w:pStyle w:val="ListParagraph"/>
              <w:widowControl/>
              <w:snapToGrid w:val="0"/>
              <w:ind w:leftChars="0" w:left="0"/>
              <w:jc w:val="right"/>
              <w:rPr>
                <w:rFonts w:ascii="標楷體" w:eastAsia="標楷體" w:hAnsi="標楷體"/>
                <w:sz w:val="28"/>
                <w:szCs w:val="28"/>
              </w:rPr>
            </w:pPr>
            <w:r w:rsidRPr="00535128">
              <w:rPr>
                <w:rFonts w:ascii="標楷體" w:eastAsia="標楷體" w:hAnsi="標楷體" w:hint="eastAsia"/>
                <w:sz w:val="28"/>
                <w:szCs w:val="28"/>
              </w:rPr>
              <w:t>年度</w:t>
            </w:r>
          </w:p>
          <w:p w:rsidR="00514373" w:rsidRPr="00535128" w:rsidRDefault="00514373" w:rsidP="009D4068">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項目</w:t>
            </w:r>
          </w:p>
        </w:tc>
        <w:tc>
          <w:tcPr>
            <w:tcW w:w="1584" w:type="dxa"/>
            <w:vAlign w:val="center"/>
          </w:tcPr>
          <w:p w:rsidR="00514373" w:rsidRPr="00535128" w:rsidRDefault="00514373" w:rsidP="009D4068">
            <w:pPr>
              <w:pStyle w:val="ListParagraph"/>
              <w:widowControl/>
              <w:snapToGrid w:val="0"/>
              <w:ind w:leftChars="0" w:left="0"/>
              <w:jc w:val="center"/>
              <w:rPr>
                <w:rFonts w:ascii="標楷體" w:eastAsia="標楷體" w:hAnsi="標楷體"/>
                <w:sz w:val="28"/>
                <w:szCs w:val="28"/>
              </w:rPr>
            </w:pPr>
            <w:r w:rsidRPr="00535128">
              <w:rPr>
                <w:rFonts w:ascii="標楷體" w:eastAsia="標楷體" w:hAnsi="標楷體"/>
                <w:sz w:val="28"/>
                <w:szCs w:val="28"/>
              </w:rPr>
              <w:t>103</w:t>
            </w:r>
            <w:r w:rsidRPr="00535128">
              <w:rPr>
                <w:rFonts w:ascii="標楷體" w:eastAsia="標楷體" w:hAnsi="標楷體" w:hint="eastAsia"/>
                <w:sz w:val="28"/>
                <w:szCs w:val="28"/>
              </w:rPr>
              <w:t>年</w:t>
            </w:r>
          </w:p>
        </w:tc>
        <w:tc>
          <w:tcPr>
            <w:tcW w:w="1585" w:type="dxa"/>
            <w:vAlign w:val="center"/>
          </w:tcPr>
          <w:p w:rsidR="00514373" w:rsidRPr="00535128" w:rsidRDefault="00514373" w:rsidP="009D4068">
            <w:pPr>
              <w:pStyle w:val="ListParagraph"/>
              <w:widowControl/>
              <w:snapToGrid w:val="0"/>
              <w:ind w:leftChars="0" w:left="0"/>
              <w:jc w:val="center"/>
              <w:rPr>
                <w:rFonts w:ascii="標楷體" w:eastAsia="標楷體" w:hAnsi="標楷體"/>
                <w:sz w:val="28"/>
                <w:szCs w:val="28"/>
              </w:rPr>
            </w:pPr>
            <w:r w:rsidRPr="00535128">
              <w:rPr>
                <w:rFonts w:ascii="標楷體" w:eastAsia="標楷體" w:hAnsi="標楷體"/>
                <w:sz w:val="28"/>
                <w:szCs w:val="28"/>
              </w:rPr>
              <w:t>104</w:t>
            </w:r>
            <w:r w:rsidRPr="00535128">
              <w:rPr>
                <w:rFonts w:ascii="標楷體" w:eastAsia="標楷體" w:hAnsi="標楷體" w:hint="eastAsia"/>
                <w:sz w:val="28"/>
                <w:szCs w:val="28"/>
              </w:rPr>
              <w:t>年</w:t>
            </w:r>
          </w:p>
        </w:tc>
        <w:tc>
          <w:tcPr>
            <w:tcW w:w="1585" w:type="dxa"/>
            <w:vAlign w:val="center"/>
          </w:tcPr>
          <w:p w:rsidR="00514373" w:rsidRPr="00535128" w:rsidRDefault="00514373" w:rsidP="009D4068">
            <w:pPr>
              <w:pStyle w:val="ListParagraph"/>
              <w:widowControl/>
              <w:snapToGrid w:val="0"/>
              <w:ind w:leftChars="0" w:left="0"/>
              <w:jc w:val="center"/>
              <w:rPr>
                <w:rFonts w:ascii="標楷體" w:eastAsia="標楷體" w:hAnsi="標楷體"/>
                <w:sz w:val="28"/>
                <w:szCs w:val="28"/>
              </w:rPr>
            </w:pPr>
            <w:r w:rsidRPr="00535128">
              <w:rPr>
                <w:rFonts w:ascii="標楷體" w:eastAsia="標楷體" w:hAnsi="標楷體"/>
                <w:sz w:val="28"/>
                <w:szCs w:val="28"/>
              </w:rPr>
              <w:t>105</w:t>
            </w:r>
            <w:r w:rsidRPr="00535128">
              <w:rPr>
                <w:rFonts w:ascii="標楷體" w:eastAsia="標楷體" w:hAnsi="標楷體" w:hint="eastAsia"/>
                <w:sz w:val="28"/>
                <w:szCs w:val="28"/>
              </w:rPr>
              <w:t>年</w:t>
            </w:r>
          </w:p>
        </w:tc>
        <w:tc>
          <w:tcPr>
            <w:tcW w:w="1585" w:type="dxa"/>
            <w:vAlign w:val="center"/>
          </w:tcPr>
          <w:p w:rsidR="00514373" w:rsidRPr="00535128" w:rsidRDefault="00514373" w:rsidP="009D4068">
            <w:pPr>
              <w:pStyle w:val="ListParagraph"/>
              <w:widowControl/>
              <w:snapToGrid w:val="0"/>
              <w:ind w:leftChars="0" w:left="0"/>
              <w:jc w:val="center"/>
              <w:rPr>
                <w:rFonts w:ascii="標楷體" w:eastAsia="標楷體" w:hAnsi="標楷體"/>
                <w:sz w:val="28"/>
                <w:szCs w:val="28"/>
              </w:rPr>
            </w:pPr>
            <w:r w:rsidRPr="00535128">
              <w:rPr>
                <w:rFonts w:ascii="標楷體" w:eastAsia="標楷體" w:hAnsi="標楷體"/>
                <w:sz w:val="28"/>
                <w:szCs w:val="28"/>
              </w:rPr>
              <w:t>106</w:t>
            </w:r>
            <w:r w:rsidRPr="00535128">
              <w:rPr>
                <w:rFonts w:ascii="標楷體" w:eastAsia="標楷體" w:hAnsi="標楷體" w:hint="eastAsia"/>
                <w:sz w:val="28"/>
                <w:szCs w:val="28"/>
              </w:rPr>
              <w:t>年</w:t>
            </w:r>
          </w:p>
        </w:tc>
      </w:tr>
      <w:tr w:rsidR="00514373" w:rsidRPr="00535128" w:rsidTr="00622A64">
        <w:trPr>
          <w:trHeight w:val="840"/>
        </w:trPr>
        <w:tc>
          <w:tcPr>
            <w:tcW w:w="1985" w:type="dxa"/>
            <w:vAlign w:val="center"/>
          </w:tcPr>
          <w:p w:rsidR="00514373" w:rsidRPr="00535128" w:rsidRDefault="00514373" w:rsidP="009D4068">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衡量標準</w:t>
            </w:r>
          </w:p>
        </w:tc>
        <w:tc>
          <w:tcPr>
            <w:tcW w:w="6339" w:type="dxa"/>
            <w:gridSpan w:val="4"/>
            <w:vAlign w:val="center"/>
          </w:tcPr>
          <w:p w:rsidR="00514373" w:rsidRPr="00535128" w:rsidRDefault="00514373" w:rsidP="009D4068">
            <w:pPr>
              <w:pStyle w:val="ListParagraph"/>
              <w:widowControl/>
              <w:snapToGrid w:val="0"/>
              <w:ind w:leftChars="0" w:left="0"/>
              <w:rPr>
                <w:rFonts w:ascii="標楷體" w:eastAsia="標楷體" w:hAnsi="標楷體"/>
                <w:b/>
                <w:sz w:val="28"/>
                <w:szCs w:val="28"/>
              </w:rPr>
            </w:pPr>
            <w:r w:rsidRPr="00535128">
              <w:rPr>
                <w:rFonts w:ascii="標楷體" w:eastAsia="標楷體" w:hAnsi="標楷體" w:hint="eastAsia"/>
                <w:b/>
                <w:sz w:val="28"/>
                <w:szCs w:val="28"/>
              </w:rPr>
              <w:t>女性查核委員參加施工查核作業之比率</w:t>
            </w:r>
            <w:r w:rsidRPr="00535128">
              <w:rPr>
                <w:rFonts w:ascii="標楷體" w:eastAsia="標楷體" w:hAnsi="標楷體"/>
                <w:b/>
                <w:sz w:val="28"/>
                <w:szCs w:val="28"/>
              </w:rPr>
              <w:t>%</w:t>
            </w:r>
          </w:p>
        </w:tc>
      </w:tr>
      <w:tr w:rsidR="00514373" w:rsidRPr="00535128" w:rsidTr="00622A64">
        <w:trPr>
          <w:trHeight w:val="612"/>
        </w:trPr>
        <w:tc>
          <w:tcPr>
            <w:tcW w:w="1985" w:type="dxa"/>
            <w:vAlign w:val="center"/>
          </w:tcPr>
          <w:p w:rsidR="00514373" w:rsidRPr="00535128" w:rsidRDefault="00514373" w:rsidP="009D4068">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目標值</w:t>
            </w:r>
            <w:r w:rsidRPr="00535128">
              <w:rPr>
                <w:rFonts w:ascii="標楷體" w:eastAsia="標楷體" w:hAnsi="標楷體"/>
                <w:sz w:val="28"/>
                <w:szCs w:val="28"/>
              </w:rPr>
              <w:t>(X)</w:t>
            </w:r>
          </w:p>
        </w:tc>
        <w:tc>
          <w:tcPr>
            <w:tcW w:w="1584" w:type="dxa"/>
            <w:vAlign w:val="center"/>
          </w:tcPr>
          <w:p w:rsidR="00514373" w:rsidRPr="00535128" w:rsidRDefault="00514373" w:rsidP="009D4068">
            <w:pPr>
              <w:snapToGrid w:val="0"/>
              <w:jc w:val="center"/>
              <w:rPr>
                <w:rFonts w:ascii="標楷體" w:eastAsia="標楷體" w:hAnsi="標楷體"/>
                <w:sz w:val="28"/>
                <w:szCs w:val="28"/>
              </w:rPr>
            </w:pPr>
            <w:r w:rsidRPr="00535128">
              <w:rPr>
                <w:rFonts w:ascii="標楷體" w:eastAsia="標楷體" w:hAnsi="標楷體"/>
                <w:sz w:val="28"/>
                <w:szCs w:val="28"/>
              </w:rPr>
              <w:t>1.80</w:t>
            </w:r>
          </w:p>
        </w:tc>
        <w:tc>
          <w:tcPr>
            <w:tcW w:w="1585" w:type="dxa"/>
            <w:vAlign w:val="center"/>
          </w:tcPr>
          <w:p w:rsidR="00514373" w:rsidRPr="00535128" w:rsidRDefault="00514373" w:rsidP="009D4068">
            <w:pPr>
              <w:snapToGrid w:val="0"/>
              <w:jc w:val="center"/>
              <w:rPr>
                <w:rFonts w:ascii="標楷體" w:eastAsia="標楷體" w:hAnsi="標楷體"/>
                <w:sz w:val="28"/>
                <w:szCs w:val="28"/>
              </w:rPr>
            </w:pPr>
            <w:r w:rsidRPr="00535128">
              <w:rPr>
                <w:rFonts w:ascii="標楷體" w:eastAsia="標楷體" w:hAnsi="標楷體"/>
                <w:sz w:val="28"/>
                <w:szCs w:val="28"/>
              </w:rPr>
              <w:t>1.85</w:t>
            </w:r>
          </w:p>
        </w:tc>
        <w:tc>
          <w:tcPr>
            <w:tcW w:w="1585" w:type="dxa"/>
            <w:vAlign w:val="center"/>
          </w:tcPr>
          <w:p w:rsidR="00514373" w:rsidRPr="00535128" w:rsidRDefault="00514373" w:rsidP="009D4068">
            <w:pPr>
              <w:snapToGrid w:val="0"/>
              <w:jc w:val="center"/>
              <w:rPr>
                <w:rFonts w:ascii="標楷體" w:eastAsia="標楷體" w:hAnsi="標楷體"/>
                <w:sz w:val="28"/>
                <w:szCs w:val="28"/>
              </w:rPr>
            </w:pPr>
            <w:r w:rsidRPr="00535128">
              <w:rPr>
                <w:rFonts w:ascii="標楷體" w:eastAsia="標楷體" w:hAnsi="標楷體"/>
                <w:sz w:val="28"/>
                <w:szCs w:val="28"/>
              </w:rPr>
              <w:t>1.90</w:t>
            </w:r>
          </w:p>
        </w:tc>
        <w:tc>
          <w:tcPr>
            <w:tcW w:w="1585" w:type="dxa"/>
            <w:vAlign w:val="center"/>
          </w:tcPr>
          <w:p w:rsidR="00514373" w:rsidRPr="00535128" w:rsidRDefault="00514373" w:rsidP="009D4068">
            <w:pPr>
              <w:snapToGrid w:val="0"/>
              <w:jc w:val="center"/>
              <w:rPr>
                <w:rFonts w:ascii="標楷體" w:eastAsia="標楷體" w:hAnsi="標楷體"/>
                <w:sz w:val="28"/>
                <w:szCs w:val="28"/>
              </w:rPr>
            </w:pPr>
            <w:r w:rsidRPr="00535128">
              <w:rPr>
                <w:rFonts w:ascii="標楷體" w:eastAsia="標楷體" w:hAnsi="標楷體"/>
                <w:sz w:val="28"/>
                <w:szCs w:val="28"/>
              </w:rPr>
              <w:t>1.95</w:t>
            </w:r>
          </w:p>
        </w:tc>
      </w:tr>
      <w:tr w:rsidR="00514373" w:rsidRPr="00535128" w:rsidTr="00622A64">
        <w:trPr>
          <w:trHeight w:val="612"/>
        </w:trPr>
        <w:tc>
          <w:tcPr>
            <w:tcW w:w="1985" w:type="dxa"/>
            <w:vAlign w:val="center"/>
          </w:tcPr>
          <w:p w:rsidR="00514373" w:rsidRPr="00535128" w:rsidRDefault="00514373" w:rsidP="009D4068">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實際值</w:t>
            </w:r>
            <w:r w:rsidRPr="00535128">
              <w:rPr>
                <w:rFonts w:ascii="標楷體" w:eastAsia="標楷體" w:hAnsi="標楷體"/>
                <w:sz w:val="28"/>
                <w:szCs w:val="28"/>
              </w:rPr>
              <w:t>(Y)</w:t>
            </w:r>
          </w:p>
        </w:tc>
        <w:tc>
          <w:tcPr>
            <w:tcW w:w="1584" w:type="dxa"/>
            <w:vAlign w:val="center"/>
          </w:tcPr>
          <w:p w:rsidR="00514373" w:rsidRPr="00535128" w:rsidRDefault="00514373" w:rsidP="009D4068">
            <w:pPr>
              <w:pStyle w:val="ListParagraph"/>
              <w:widowControl/>
              <w:snapToGrid w:val="0"/>
              <w:ind w:leftChars="0" w:left="0"/>
              <w:jc w:val="center"/>
              <w:rPr>
                <w:rFonts w:ascii="標楷體" w:eastAsia="標楷體" w:hAnsi="標楷體"/>
                <w:sz w:val="28"/>
                <w:szCs w:val="28"/>
              </w:rPr>
            </w:pPr>
            <w:r w:rsidRPr="00535128">
              <w:rPr>
                <w:rFonts w:ascii="標楷體" w:eastAsia="標楷體" w:hAnsi="標楷體"/>
                <w:sz w:val="28"/>
                <w:szCs w:val="28"/>
              </w:rPr>
              <w:t>2.05</w:t>
            </w:r>
          </w:p>
        </w:tc>
        <w:tc>
          <w:tcPr>
            <w:tcW w:w="1585" w:type="dxa"/>
            <w:vAlign w:val="center"/>
          </w:tcPr>
          <w:p w:rsidR="00514373" w:rsidRPr="00535128" w:rsidRDefault="00514373" w:rsidP="009D4068">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9D4068">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9D4068">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r>
      <w:tr w:rsidR="00514373" w:rsidRPr="00535128" w:rsidTr="00622A64">
        <w:trPr>
          <w:trHeight w:val="612"/>
        </w:trPr>
        <w:tc>
          <w:tcPr>
            <w:tcW w:w="1985" w:type="dxa"/>
            <w:vAlign w:val="center"/>
          </w:tcPr>
          <w:p w:rsidR="00514373" w:rsidRPr="00535128" w:rsidRDefault="00514373" w:rsidP="009D4068">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達成度</w:t>
            </w:r>
            <w:r w:rsidRPr="00535128">
              <w:rPr>
                <w:rFonts w:ascii="標楷體" w:eastAsia="標楷體" w:hAnsi="標楷體"/>
                <w:sz w:val="28"/>
                <w:szCs w:val="28"/>
              </w:rPr>
              <w:t>(Y/X)</w:t>
            </w:r>
          </w:p>
        </w:tc>
        <w:tc>
          <w:tcPr>
            <w:tcW w:w="1584" w:type="dxa"/>
            <w:vAlign w:val="center"/>
          </w:tcPr>
          <w:p w:rsidR="00514373" w:rsidRPr="00535128" w:rsidRDefault="00514373" w:rsidP="009D4068">
            <w:pPr>
              <w:pStyle w:val="ListParagraph"/>
              <w:widowControl/>
              <w:snapToGrid w:val="0"/>
              <w:ind w:leftChars="0" w:left="0"/>
              <w:jc w:val="center"/>
              <w:rPr>
                <w:rFonts w:ascii="標楷體" w:eastAsia="標楷體" w:hAnsi="標楷體"/>
                <w:sz w:val="28"/>
                <w:szCs w:val="28"/>
              </w:rPr>
            </w:pPr>
            <w:r w:rsidRPr="00535128">
              <w:rPr>
                <w:rFonts w:ascii="標楷體" w:eastAsia="標楷體" w:hAnsi="標楷體"/>
                <w:sz w:val="28"/>
                <w:szCs w:val="28"/>
              </w:rPr>
              <w:t>114</w:t>
            </w:r>
          </w:p>
        </w:tc>
        <w:tc>
          <w:tcPr>
            <w:tcW w:w="1585" w:type="dxa"/>
            <w:vAlign w:val="center"/>
          </w:tcPr>
          <w:p w:rsidR="00514373" w:rsidRPr="00535128" w:rsidRDefault="00514373" w:rsidP="009D4068">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9D4068">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9D4068">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r>
    </w:tbl>
    <w:p w:rsidR="00514373" w:rsidRPr="00535128" w:rsidRDefault="00514373" w:rsidP="007A0952">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2</w:t>
      </w:r>
      <w:r w:rsidRPr="00535128">
        <w:rPr>
          <w:rFonts w:ascii="標楷體" w:eastAsia="標楷體" w:hAnsi="標楷體" w:hint="eastAsia"/>
          <w:sz w:val="28"/>
          <w:szCs w:val="28"/>
        </w:rPr>
        <w:t>、重要辦理情形：本會於</w:t>
      </w:r>
      <w:r w:rsidRPr="00535128">
        <w:rPr>
          <w:rFonts w:ascii="標楷體" w:eastAsia="標楷體" w:hAnsi="標楷體"/>
          <w:sz w:val="28"/>
          <w:szCs w:val="28"/>
        </w:rPr>
        <w:t>102</w:t>
      </w:r>
      <w:r w:rsidRPr="00535128">
        <w:rPr>
          <w:rFonts w:ascii="標楷體" w:eastAsia="標楷體" w:hAnsi="標楷體" w:hint="eastAsia"/>
          <w:sz w:val="28"/>
          <w:szCs w:val="28"/>
        </w:rPr>
        <w:t>年</w:t>
      </w:r>
      <w:r w:rsidRPr="00535128">
        <w:rPr>
          <w:rFonts w:ascii="標楷體" w:eastAsia="標楷體" w:hAnsi="標楷體"/>
          <w:sz w:val="28"/>
          <w:szCs w:val="28"/>
        </w:rPr>
        <w:t>9</w:t>
      </w:r>
      <w:r w:rsidRPr="00535128">
        <w:rPr>
          <w:rFonts w:ascii="標楷體" w:eastAsia="標楷體" w:hAnsi="標楷體" w:hint="eastAsia"/>
          <w:sz w:val="28"/>
          <w:szCs w:val="28"/>
        </w:rPr>
        <w:t>月</w:t>
      </w:r>
      <w:r w:rsidRPr="00535128">
        <w:rPr>
          <w:rFonts w:ascii="標楷體" w:eastAsia="標楷體" w:hAnsi="標楷體"/>
          <w:sz w:val="28"/>
          <w:szCs w:val="28"/>
        </w:rPr>
        <w:t>9</w:t>
      </w:r>
      <w:r w:rsidRPr="00535128">
        <w:rPr>
          <w:rFonts w:ascii="標楷體" w:eastAsia="標楷體" w:hAnsi="標楷體" w:hint="eastAsia"/>
          <w:sz w:val="28"/>
          <w:szCs w:val="28"/>
        </w:rPr>
        <w:t>日函請各機關工程施工查核小組踴躍推薦聘任具工程專業領域之女性查核委員。經統計</w:t>
      </w:r>
      <w:r w:rsidRPr="00535128">
        <w:rPr>
          <w:rFonts w:ascii="標楷體" w:eastAsia="標楷體" w:hAnsi="標楷體"/>
          <w:sz w:val="28"/>
          <w:szCs w:val="28"/>
        </w:rPr>
        <w:t>103</w:t>
      </w:r>
      <w:r w:rsidRPr="00535128">
        <w:rPr>
          <w:rFonts w:ascii="標楷體" w:eastAsia="標楷體" w:hAnsi="標楷體" w:hint="eastAsia"/>
          <w:sz w:val="28"/>
          <w:szCs w:val="28"/>
        </w:rPr>
        <w:t>年聘有</w:t>
      </w:r>
      <w:r w:rsidRPr="00535128">
        <w:rPr>
          <w:rFonts w:ascii="標楷體" w:eastAsia="標楷體" w:hAnsi="標楷體"/>
          <w:sz w:val="28"/>
          <w:szCs w:val="28"/>
        </w:rPr>
        <w:t>27</w:t>
      </w:r>
      <w:r w:rsidRPr="00535128">
        <w:rPr>
          <w:rFonts w:ascii="標楷體" w:eastAsia="標楷體" w:hAnsi="標楷體" w:hint="eastAsia"/>
          <w:sz w:val="28"/>
          <w:szCs w:val="28"/>
        </w:rPr>
        <w:t>位女性查核委員，較</w:t>
      </w:r>
      <w:r w:rsidRPr="00535128">
        <w:rPr>
          <w:rFonts w:ascii="標楷體" w:eastAsia="標楷體" w:hAnsi="標楷體"/>
          <w:sz w:val="28"/>
          <w:szCs w:val="28"/>
        </w:rPr>
        <w:t>102</w:t>
      </w:r>
      <w:r w:rsidRPr="00535128">
        <w:rPr>
          <w:rFonts w:ascii="標楷體" w:eastAsia="標楷體" w:hAnsi="標楷體" w:hint="eastAsia"/>
          <w:sz w:val="28"/>
          <w:szCs w:val="28"/>
        </w:rPr>
        <w:t>年聘女性委員</w:t>
      </w:r>
      <w:r w:rsidRPr="00535128">
        <w:rPr>
          <w:rFonts w:ascii="標楷體" w:eastAsia="標楷體" w:hAnsi="標楷體"/>
          <w:sz w:val="28"/>
          <w:szCs w:val="28"/>
        </w:rPr>
        <w:t>19</w:t>
      </w:r>
      <w:r w:rsidRPr="00535128">
        <w:rPr>
          <w:rFonts w:ascii="標楷體" w:eastAsia="標楷體" w:hAnsi="標楷體" w:hint="eastAsia"/>
          <w:sz w:val="28"/>
          <w:szCs w:val="28"/>
        </w:rPr>
        <w:t>位增加</w:t>
      </w:r>
      <w:r w:rsidRPr="00535128">
        <w:rPr>
          <w:rFonts w:ascii="標楷體" w:eastAsia="標楷體" w:hAnsi="標楷體"/>
          <w:sz w:val="28"/>
          <w:szCs w:val="28"/>
        </w:rPr>
        <w:t>8</w:t>
      </w:r>
      <w:r w:rsidRPr="00535128">
        <w:rPr>
          <w:rFonts w:ascii="標楷體" w:eastAsia="標楷體" w:hAnsi="標楷體" w:hint="eastAsia"/>
          <w:sz w:val="28"/>
          <w:szCs w:val="28"/>
        </w:rPr>
        <w:t>位，增加率為</w:t>
      </w:r>
      <w:r w:rsidRPr="00535128">
        <w:rPr>
          <w:rFonts w:ascii="標楷體" w:eastAsia="標楷體" w:hAnsi="標楷體"/>
          <w:sz w:val="28"/>
          <w:szCs w:val="28"/>
        </w:rPr>
        <w:t>42%</w:t>
      </w:r>
      <w:r w:rsidRPr="00535128">
        <w:rPr>
          <w:rFonts w:ascii="標楷體" w:eastAsia="標楷體" w:hAnsi="標楷體" w:hint="eastAsia"/>
          <w:sz w:val="28"/>
          <w:szCs w:val="28"/>
        </w:rPr>
        <w:t>，且</w:t>
      </w:r>
      <w:r w:rsidRPr="00535128">
        <w:rPr>
          <w:rFonts w:ascii="標楷體" w:eastAsia="標楷體" w:hAnsi="標楷體"/>
          <w:sz w:val="28"/>
          <w:szCs w:val="28"/>
        </w:rPr>
        <w:t>103</w:t>
      </w:r>
      <w:r w:rsidRPr="00535128">
        <w:rPr>
          <w:rFonts w:ascii="標楷體" w:eastAsia="標楷體" w:hAnsi="標楷體" w:hint="eastAsia"/>
          <w:sz w:val="28"/>
          <w:szCs w:val="28"/>
        </w:rPr>
        <w:t>年度女性查核委員參加施工查核作業之比率為</w:t>
      </w:r>
      <w:r w:rsidRPr="00535128">
        <w:rPr>
          <w:rFonts w:ascii="標楷體" w:eastAsia="標楷體" w:hAnsi="標楷體"/>
          <w:sz w:val="28"/>
          <w:szCs w:val="28"/>
        </w:rPr>
        <w:t>2.05%</w:t>
      </w:r>
      <w:r w:rsidRPr="00535128">
        <w:rPr>
          <w:rFonts w:ascii="標楷體" w:eastAsia="標楷體" w:hAnsi="標楷體" w:hint="eastAsia"/>
          <w:sz w:val="28"/>
          <w:szCs w:val="28"/>
        </w:rPr>
        <w:t>。</w:t>
      </w:r>
    </w:p>
    <w:p w:rsidR="00514373" w:rsidRPr="00535128" w:rsidRDefault="00514373" w:rsidP="007A0952">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3</w:t>
      </w:r>
      <w:r w:rsidRPr="00535128">
        <w:rPr>
          <w:rFonts w:ascii="標楷體" w:eastAsia="標楷體" w:hAnsi="標楷體" w:hint="eastAsia"/>
          <w:sz w:val="28"/>
          <w:szCs w:val="28"/>
        </w:rPr>
        <w:t>、檢討及策進作為：除增加女性委員人數，為提升女性委員實際參與查核案件，亦將要求各機關於辦理施工查核時，多遴聘女性委員參與。</w:t>
      </w:r>
    </w:p>
    <w:p w:rsidR="00514373" w:rsidRPr="00535128" w:rsidRDefault="00514373" w:rsidP="007A0952">
      <w:pPr>
        <w:pStyle w:val="ListParagraph"/>
        <w:widowControl/>
        <w:numPr>
          <w:ilvl w:val="0"/>
          <w:numId w:val="3"/>
        </w:numPr>
        <w:snapToGrid w:val="0"/>
        <w:spacing w:line="500" w:lineRule="atLeast"/>
        <w:ind w:leftChars="0" w:left="812" w:hanging="588"/>
        <w:rPr>
          <w:rFonts w:ascii="標楷體" w:eastAsia="標楷體" w:hAnsi="標楷體"/>
          <w:b/>
          <w:sz w:val="28"/>
          <w:szCs w:val="28"/>
        </w:rPr>
      </w:pPr>
      <w:r w:rsidRPr="00535128">
        <w:rPr>
          <w:rFonts w:ascii="標楷體" w:eastAsia="標楷體" w:hAnsi="標楷體" w:hint="eastAsia"/>
          <w:b/>
          <w:sz w:val="28"/>
          <w:szCs w:val="28"/>
        </w:rPr>
        <w:t>賡續推動性別主流化各項工具，並提升推動品質及擴大成效</w:t>
      </w:r>
    </w:p>
    <w:p w:rsidR="00514373" w:rsidRPr="00535128" w:rsidRDefault="00514373" w:rsidP="007A0952">
      <w:pPr>
        <w:pStyle w:val="ListParagraph"/>
        <w:widowControl/>
        <w:snapToGrid w:val="0"/>
        <w:spacing w:line="500" w:lineRule="atLeast"/>
        <w:ind w:leftChars="140" w:left="1216" w:hangingChars="314" w:hanging="880"/>
        <w:rPr>
          <w:rFonts w:ascii="標楷體" w:eastAsia="標楷體" w:hAnsi="標楷體"/>
          <w:b/>
          <w:sz w:val="28"/>
          <w:szCs w:val="28"/>
        </w:rPr>
      </w:pPr>
      <w:r w:rsidRPr="00535128">
        <w:rPr>
          <w:rFonts w:ascii="標楷體" w:eastAsia="標楷體" w:hAnsi="標楷體" w:hint="eastAsia"/>
          <w:b/>
          <w:sz w:val="28"/>
          <w:szCs w:val="28"/>
        </w:rPr>
        <w:t>（一）關鍵績效指標</w:t>
      </w:r>
      <w:r w:rsidRPr="00535128">
        <w:rPr>
          <w:rFonts w:ascii="標楷體" w:eastAsia="標楷體" w:hAnsi="標楷體"/>
          <w:b/>
          <w:sz w:val="28"/>
          <w:szCs w:val="28"/>
        </w:rPr>
        <w:t>1</w:t>
      </w:r>
      <w:r w:rsidRPr="00535128">
        <w:rPr>
          <w:rFonts w:ascii="標楷體" w:eastAsia="標楷體" w:hAnsi="標楷體" w:hint="eastAsia"/>
          <w:b/>
          <w:sz w:val="28"/>
          <w:szCs w:val="28"/>
        </w:rPr>
        <w:t>：性別主流化訓練參訓率</w:t>
      </w:r>
      <w:r w:rsidRPr="00535128">
        <w:rPr>
          <w:rFonts w:ascii="標楷體" w:eastAsia="標楷體" w:hAnsi="標楷體"/>
          <w:b/>
          <w:sz w:val="28"/>
          <w:szCs w:val="28"/>
        </w:rPr>
        <w:t>(%)</w:t>
      </w:r>
    </w:p>
    <w:p w:rsidR="00514373" w:rsidRPr="00535128" w:rsidRDefault="00514373" w:rsidP="007A0952">
      <w:pPr>
        <w:widowControl/>
        <w:snapToGrid w:val="0"/>
        <w:spacing w:line="500" w:lineRule="atLeast"/>
        <w:ind w:leftChars="321" w:left="1529" w:hangingChars="271" w:hanging="759"/>
        <w:rPr>
          <w:rFonts w:ascii="標楷體" w:eastAsia="標楷體" w:hAnsi="標楷體"/>
          <w:sz w:val="28"/>
          <w:szCs w:val="28"/>
        </w:rPr>
      </w:pPr>
      <w:r w:rsidRPr="00535128">
        <w:rPr>
          <w:rFonts w:ascii="標楷體" w:eastAsia="標楷體" w:hAnsi="標楷體"/>
          <w:sz w:val="28"/>
          <w:szCs w:val="28"/>
        </w:rPr>
        <w:t>1</w:t>
      </w:r>
      <w:r w:rsidRPr="00535128">
        <w:rPr>
          <w:rFonts w:ascii="標楷體" w:eastAsia="標楷體" w:hAnsi="標楷體" w:hint="eastAsia"/>
          <w:sz w:val="28"/>
          <w:szCs w:val="28"/>
        </w:rPr>
        <w:t>、目標達成情形</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1614"/>
        <w:gridCol w:w="1615"/>
        <w:gridCol w:w="1615"/>
        <w:gridCol w:w="1615"/>
      </w:tblGrid>
      <w:tr w:rsidR="00514373" w:rsidRPr="00535128" w:rsidTr="00622A64">
        <w:tc>
          <w:tcPr>
            <w:tcW w:w="1985" w:type="dxa"/>
            <w:tcBorders>
              <w:tl2br w:val="single" w:sz="4" w:space="0" w:color="auto"/>
            </w:tcBorders>
            <w:vAlign w:val="bottom"/>
          </w:tcPr>
          <w:p w:rsidR="00514373" w:rsidRPr="00535128" w:rsidRDefault="00514373" w:rsidP="007A0952">
            <w:pPr>
              <w:pStyle w:val="ListParagraph"/>
              <w:widowControl/>
              <w:snapToGrid w:val="0"/>
              <w:spacing w:line="500" w:lineRule="atLeast"/>
              <w:ind w:leftChars="0" w:left="0"/>
              <w:jc w:val="right"/>
              <w:rPr>
                <w:rFonts w:ascii="標楷體" w:eastAsia="標楷體" w:hAnsi="標楷體"/>
                <w:sz w:val="28"/>
                <w:szCs w:val="28"/>
              </w:rPr>
            </w:pPr>
            <w:r w:rsidRPr="00535128">
              <w:rPr>
                <w:rFonts w:ascii="標楷體" w:eastAsia="標楷體" w:hAnsi="標楷體" w:hint="eastAsia"/>
                <w:sz w:val="28"/>
                <w:szCs w:val="28"/>
              </w:rPr>
              <w:t>年度</w:t>
            </w:r>
          </w:p>
          <w:p w:rsidR="00514373" w:rsidRPr="00535128" w:rsidRDefault="00514373" w:rsidP="007A0952">
            <w:pPr>
              <w:pStyle w:val="ListParagraph"/>
              <w:widowControl/>
              <w:snapToGrid w:val="0"/>
              <w:spacing w:line="500" w:lineRule="atLeast"/>
              <w:ind w:leftChars="0" w:left="0"/>
              <w:rPr>
                <w:rFonts w:ascii="標楷體" w:eastAsia="標楷體" w:hAnsi="標楷體"/>
                <w:sz w:val="28"/>
                <w:szCs w:val="28"/>
              </w:rPr>
            </w:pPr>
            <w:r w:rsidRPr="00535128">
              <w:rPr>
                <w:rFonts w:ascii="標楷體" w:eastAsia="標楷體" w:hAnsi="標楷體" w:hint="eastAsia"/>
                <w:sz w:val="28"/>
                <w:szCs w:val="28"/>
              </w:rPr>
              <w:t>項目</w:t>
            </w:r>
          </w:p>
        </w:tc>
        <w:tc>
          <w:tcPr>
            <w:tcW w:w="1614"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103</w:t>
            </w:r>
            <w:r w:rsidRPr="00535128">
              <w:rPr>
                <w:rFonts w:ascii="標楷體" w:eastAsia="標楷體" w:hAnsi="標楷體" w:hint="eastAsia"/>
                <w:sz w:val="28"/>
                <w:szCs w:val="28"/>
              </w:rPr>
              <w:t>年</w:t>
            </w:r>
          </w:p>
        </w:tc>
        <w:tc>
          <w:tcPr>
            <w:tcW w:w="161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104</w:t>
            </w:r>
            <w:r w:rsidRPr="00535128">
              <w:rPr>
                <w:rFonts w:ascii="標楷體" w:eastAsia="標楷體" w:hAnsi="標楷體" w:hint="eastAsia"/>
                <w:sz w:val="28"/>
                <w:szCs w:val="28"/>
              </w:rPr>
              <w:t>年</w:t>
            </w:r>
          </w:p>
        </w:tc>
        <w:tc>
          <w:tcPr>
            <w:tcW w:w="161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105</w:t>
            </w:r>
            <w:r w:rsidRPr="00535128">
              <w:rPr>
                <w:rFonts w:ascii="標楷體" w:eastAsia="標楷體" w:hAnsi="標楷體" w:hint="eastAsia"/>
                <w:sz w:val="28"/>
                <w:szCs w:val="28"/>
              </w:rPr>
              <w:t>年</w:t>
            </w:r>
          </w:p>
        </w:tc>
        <w:tc>
          <w:tcPr>
            <w:tcW w:w="161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106</w:t>
            </w:r>
            <w:r w:rsidRPr="00535128">
              <w:rPr>
                <w:rFonts w:ascii="標楷體" w:eastAsia="標楷體" w:hAnsi="標楷體" w:hint="eastAsia"/>
                <w:sz w:val="28"/>
                <w:szCs w:val="28"/>
              </w:rPr>
              <w:t>年</w:t>
            </w:r>
          </w:p>
        </w:tc>
      </w:tr>
      <w:tr w:rsidR="00514373" w:rsidRPr="00535128" w:rsidTr="00622A64">
        <w:trPr>
          <w:trHeight w:val="1205"/>
        </w:trPr>
        <w:tc>
          <w:tcPr>
            <w:tcW w:w="1985" w:type="dxa"/>
            <w:vAlign w:val="center"/>
          </w:tcPr>
          <w:p w:rsidR="00514373" w:rsidRPr="00535128" w:rsidRDefault="00514373" w:rsidP="00D42F87">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衡量標準</w:t>
            </w:r>
          </w:p>
        </w:tc>
        <w:tc>
          <w:tcPr>
            <w:tcW w:w="6459" w:type="dxa"/>
            <w:gridSpan w:val="4"/>
            <w:vAlign w:val="center"/>
          </w:tcPr>
          <w:p w:rsidR="00514373" w:rsidRPr="00535128" w:rsidRDefault="00514373" w:rsidP="00D42F87">
            <w:pPr>
              <w:pStyle w:val="ListParagraph"/>
              <w:widowControl/>
              <w:snapToGrid w:val="0"/>
              <w:ind w:leftChars="0" w:left="0"/>
              <w:jc w:val="both"/>
              <w:rPr>
                <w:rFonts w:ascii="標楷體" w:eastAsia="標楷體" w:hAnsi="標楷體"/>
                <w:b/>
                <w:sz w:val="28"/>
                <w:szCs w:val="28"/>
              </w:rPr>
            </w:pPr>
            <w:r w:rsidRPr="00535128">
              <w:rPr>
                <w:rFonts w:ascii="標楷體" w:eastAsia="標楷體" w:hAnsi="標楷體" w:hint="eastAsia"/>
                <w:b/>
                <w:sz w:val="28"/>
                <w:szCs w:val="28"/>
              </w:rPr>
              <w:t>〔本機關及所屬機關職員於當年度參加性別主流化相關訓練課程人數</w:t>
            </w:r>
            <w:r w:rsidRPr="00535128">
              <w:rPr>
                <w:rFonts w:ascii="標楷體" w:eastAsia="標楷體" w:hAnsi="標楷體"/>
                <w:b/>
                <w:sz w:val="28"/>
                <w:szCs w:val="28"/>
              </w:rPr>
              <w:t>/</w:t>
            </w:r>
            <w:r w:rsidRPr="00535128">
              <w:rPr>
                <w:rFonts w:ascii="標楷體" w:eastAsia="標楷體" w:hAnsi="標楷體" w:hint="eastAsia"/>
                <w:b/>
                <w:sz w:val="28"/>
                <w:szCs w:val="28"/>
              </w:rPr>
              <w:t>本機關及所屬機關職員總數〕×</w:t>
            </w:r>
            <w:r w:rsidRPr="00535128">
              <w:rPr>
                <w:rFonts w:ascii="標楷體" w:eastAsia="標楷體" w:hAnsi="標楷體"/>
                <w:b/>
                <w:sz w:val="28"/>
                <w:szCs w:val="28"/>
              </w:rPr>
              <w:t>100%</w:t>
            </w:r>
          </w:p>
        </w:tc>
      </w:tr>
      <w:tr w:rsidR="00514373" w:rsidRPr="00535128" w:rsidTr="00622A64">
        <w:trPr>
          <w:trHeight w:val="708"/>
        </w:trPr>
        <w:tc>
          <w:tcPr>
            <w:tcW w:w="1985" w:type="dxa"/>
            <w:vAlign w:val="center"/>
          </w:tcPr>
          <w:p w:rsidR="00514373" w:rsidRPr="00535128" w:rsidRDefault="00514373" w:rsidP="00D42F87">
            <w:pPr>
              <w:pStyle w:val="ListParagraph"/>
              <w:widowControl/>
              <w:snapToGrid w:val="0"/>
              <w:spacing w:line="500" w:lineRule="atLeast"/>
              <w:ind w:leftChars="0" w:left="0"/>
              <w:rPr>
                <w:rFonts w:ascii="標楷體" w:eastAsia="標楷體" w:hAnsi="標楷體"/>
                <w:sz w:val="28"/>
                <w:szCs w:val="28"/>
              </w:rPr>
            </w:pPr>
            <w:r w:rsidRPr="00535128">
              <w:rPr>
                <w:rFonts w:ascii="標楷體" w:eastAsia="標楷體" w:hAnsi="標楷體" w:hint="eastAsia"/>
                <w:sz w:val="28"/>
                <w:szCs w:val="28"/>
              </w:rPr>
              <w:t>目標值</w:t>
            </w:r>
            <w:r w:rsidRPr="00535128">
              <w:rPr>
                <w:rFonts w:ascii="標楷體" w:eastAsia="標楷體" w:hAnsi="標楷體"/>
                <w:sz w:val="28"/>
                <w:szCs w:val="28"/>
              </w:rPr>
              <w:t>(X)</w:t>
            </w:r>
          </w:p>
        </w:tc>
        <w:tc>
          <w:tcPr>
            <w:tcW w:w="1614" w:type="dxa"/>
            <w:vAlign w:val="center"/>
          </w:tcPr>
          <w:p w:rsidR="00514373" w:rsidRPr="00535128" w:rsidRDefault="00514373" w:rsidP="00D42F87">
            <w:pPr>
              <w:pStyle w:val="ListParagraph"/>
              <w:widowControl/>
              <w:snapToGrid w:val="0"/>
              <w:spacing w:line="500" w:lineRule="atLeast"/>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88</w:t>
            </w:r>
          </w:p>
        </w:tc>
        <w:tc>
          <w:tcPr>
            <w:tcW w:w="1615" w:type="dxa"/>
            <w:vAlign w:val="center"/>
          </w:tcPr>
          <w:p w:rsidR="00514373" w:rsidRPr="00535128" w:rsidRDefault="00514373" w:rsidP="00D42F87">
            <w:pPr>
              <w:pStyle w:val="ListParagraph"/>
              <w:widowControl/>
              <w:snapToGrid w:val="0"/>
              <w:spacing w:line="500" w:lineRule="atLeast"/>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91</w:t>
            </w:r>
          </w:p>
        </w:tc>
        <w:tc>
          <w:tcPr>
            <w:tcW w:w="1615" w:type="dxa"/>
            <w:vAlign w:val="center"/>
          </w:tcPr>
          <w:p w:rsidR="00514373" w:rsidRPr="00535128" w:rsidRDefault="00514373" w:rsidP="00D42F87">
            <w:pPr>
              <w:pStyle w:val="ListParagraph"/>
              <w:widowControl/>
              <w:snapToGrid w:val="0"/>
              <w:spacing w:line="500" w:lineRule="atLeast"/>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94</w:t>
            </w:r>
          </w:p>
        </w:tc>
        <w:tc>
          <w:tcPr>
            <w:tcW w:w="1615" w:type="dxa"/>
            <w:vAlign w:val="center"/>
          </w:tcPr>
          <w:p w:rsidR="00514373" w:rsidRPr="00535128" w:rsidRDefault="00514373" w:rsidP="00D42F87">
            <w:pPr>
              <w:pStyle w:val="ListParagraph"/>
              <w:widowControl/>
              <w:snapToGrid w:val="0"/>
              <w:spacing w:line="500" w:lineRule="atLeast"/>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97</w:t>
            </w:r>
          </w:p>
        </w:tc>
      </w:tr>
      <w:tr w:rsidR="00514373" w:rsidRPr="00535128" w:rsidTr="00622A64">
        <w:trPr>
          <w:trHeight w:val="708"/>
        </w:trPr>
        <w:tc>
          <w:tcPr>
            <w:tcW w:w="1985" w:type="dxa"/>
            <w:vAlign w:val="center"/>
          </w:tcPr>
          <w:p w:rsidR="00514373" w:rsidRPr="00535128" w:rsidRDefault="00514373" w:rsidP="00D42F87">
            <w:pPr>
              <w:pStyle w:val="ListParagraph"/>
              <w:widowControl/>
              <w:snapToGrid w:val="0"/>
              <w:spacing w:line="500" w:lineRule="atLeast"/>
              <w:ind w:leftChars="0" w:left="0"/>
              <w:rPr>
                <w:rFonts w:ascii="標楷體" w:eastAsia="標楷體" w:hAnsi="標楷體"/>
                <w:sz w:val="28"/>
                <w:szCs w:val="28"/>
              </w:rPr>
            </w:pPr>
            <w:r w:rsidRPr="00535128">
              <w:rPr>
                <w:rFonts w:ascii="標楷體" w:eastAsia="標楷體" w:hAnsi="標楷體" w:hint="eastAsia"/>
                <w:sz w:val="28"/>
                <w:szCs w:val="28"/>
              </w:rPr>
              <w:t>實際值</w:t>
            </w:r>
            <w:r w:rsidRPr="00535128">
              <w:rPr>
                <w:rFonts w:ascii="標楷體" w:eastAsia="標楷體" w:hAnsi="標楷體"/>
                <w:sz w:val="28"/>
                <w:szCs w:val="28"/>
              </w:rPr>
              <w:t>(Y)</w:t>
            </w:r>
          </w:p>
        </w:tc>
        <w:tc>
          <w:tcPr>
            <w:tcW w:w="1614" w:type="dxa"/>
            <w:vAlign w:val="center"/>
          </w:tcPr>
          <w:p w:rsidR="00514373" w:rsidRPr="00535128" w:rsidRDefault="00514373" w:rsidP="00D42F87">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91.8</w:t>
            </w:r>
          </w:p>
        </w:tc>
        <w:tc>
          <w:tcPr>
            <w:tcW w:w="1615" w:type="dxa"/>
            <w:vAlign w:val="center"/>
          </w:tcPr>
          <w:p w:rsidR="00514373" w:rsidRPr="00535128" w:rsidRDefault="00514373" w:rsidP="00D42F87">
            <w:pPr>
              <w:pStyle w:val="ListParagraph"/>
              <w:widowControl/>
              <w:snapToGrid w:val="0"/>
              <w:spacing w:line="500" w:lineRule="atLeast"/>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615" w:type="dxa"/>
            <w:vAlign w:val="center"/>
          </w:tcPr>
          <w:p w:rsidR="00514373" w:rsidRPr="00535128" w:rsidRDefault="00514373" w:rsidP="00D42F87">
            <w:pPr>
              <w:pStyle w:val="ListParagraph"/>
              <w:widowControl/>
              <w:snapToGrid w:val="0"/>
              <w:spacing w:line="500" w:lineRule="atLeast"/>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615" w:type="dxa"/>
            <w:vAlign w:val="center"/>
          </w:tcPr>
          <w:p w:rsidR="00514373" w:rsidRPr="00535128" w:rsidRDefault="00514373" w:rsidP="00D42F87">
            <w:pPr>
              <w:pStyle w:val="ListParagraph"/>
              <w:widowControl/>
              <w:snapToGrid w:val="0"/>
              <w:spacing w:line="500" w:lineRule="atLeast"/>
              <w:ind w:leftChars="0" w:left="0"/>
              <w:jc w:val="center"/>
              <w:rPr>
                <w:rFonts w:ascii="標楷體" w:eastAsia="標楷體" w:hAnsi="標楷體"/>
                <w:b/>
                <w:sz w:val="28"/>
                <w:szCs w:val="28"/>
              </w:rPr>
            </w:pPr>
            <w:r w:rsidRPr="00535128">
              <w:rPr>
                <w:rFonts w:ascii="標楷體" w:eastAsia="標楷體" w:hAnsi="標楷體"/>
                <w:sz w:val="28"/>
                <w:szCs w:val="28"/>
              </w:rPr>
              <w:t>-</w:t>
            </w:r>
          </w:p>
        </w:tc>
      </w:tr>
      <w:tr w:rsidR="00514373" w:rsidRPr="00535128" w:rsidTr="00622A64">
        <w:trPr>
          <w:trHeight w:val="708"/>
        </w:trPr>
        <w:tc>
          <w:tcPr>
            <w:tcW w:w="1985" w:type="dxa"/>
            <w:vAlign w:val="center"/>
          </w:tcPr>
          <w:p w:rsidR="00514373" w:rsidRPr="00535128" w:rsidRDefault="00514373" w:rsidP="00D42F87">
            <w:pPr>
              <w:pStyle w:val="ListParagraph"/>
              <w:widowControl/>
              <w:snapToGrid w:val="0"/>
              <w:spacing w:line="500" w:lineRule="atLeast"/>
              <w:ind w:leftChars="0" w:left="0"/>
              <w:rPr>
                <w:rFonts w:ascii="標楷體" w:eastAsia="標楷體" w:hAnsi="標楷體"/>
                <w:sz w:val="28"/>
                <w:szCs w:val="28"/>
              </w:rPr>
            </w:pPr>
            <w:r w:rsidRPr="00535128">
              <w:rPr>
                <w:rFonts w:ascii="標楷體" w:eastAsia="標楷體" w:hAnsi="標楷體" w:hint="eastAsia"/>
                <w:sz w:val="28"/>
                <w:szCs w:val="28"/>
              </w:rPr>
              <w:t>達成度</w:t>
            </w:r>
            <w:r w:rsidRPr="00535128">
              <w:rPr>
                <w:rFonts w:ascii="標楷體" w:eastAsia="標楷體" w:hAnsi="標楷體"/>
                <w:sz w:val="28"/>
                <w:szCs w:val="28"/>
              </w:rPr>
              <w:t>(Y/X)</w:t>
            </w:r>
          </w:p>
        </w:tc>
        <w:tc>
          <w:tcPr>
            <w:tcW w:w="1614" w:type="dxa"/>
            <w:vAlign w:val="center"/>
          </w:tcPr>
          <w:p w:rsidR="00514373" w:rsidRPr="00535128" w:rsidRDefault="00514373" w:rsidP="00D42F87">
            <w:pPr>
              <w:pStyle w:val="ListParagraph"/>
              <w:widowControl/>
              <w:snapToGrid w:val="0"/>
              <w:spacing w:line="500" w:lineRule="atLeast"/>
              <w:ind w:leftChars="0" w:left="0"/>
              <w:jc w:val="center"/>
              <w:rPr>
                <w:rFonts w:ascii="標楷體" w:eastAsia="標楷體" w:hAnsi="標楷體"/>
                <w:b/>
                <w:sz w:val="28"/>
                <w:szCs w:val="28"/>
              </w:rPr>
            </w:pPr>
            <w:r w:rsidRPr="00535128">
              <w:rPr>
                <w:rFonts w:ascii="標楷體" w:eastAsia="標楷體" w:hAnsi="標楷體"/>
                <w:sz w:val="28"/>
                <w:szCs w:val="28"/>
              </w:rPr>
              <w:t>104</w:t>
            </w:r>
          </w:p>
        </w:tc>
        <w:tc>
          <w:tcPr>
            <w:tcW w:w="1615" w:type="dxa"/>
            <w:vAlign w:val="center"/>
          </w:tcPr>
          <w:p w:rsidR="00514373" w:rsidRPr="00535128" w:rsidRDefault="00514373" w:rsidP="00D42F87">
            <w:pPr>
              <w:pStyle w:val="ListParagraph"/>
              <w:widowControl/>
              <w:snapToGrid w:val="0"/>
              <w:spacing w:line="500" w:lineRule="atLeast"/>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615" w:type="dxa"/>
            <w:vAlign w:val="center"/>
          </w:tcPr>
          <w:p w:rsidR="00514373" w:rsidRPr="00535128" w:rsidRDefault="00514373" w:rsidP="00D42F87">
            <w:pPr>
              <w:pStyle w:val="ListParagraph"/>
              <w:widowControl/>
              <w:snapToGrid w:val="0"/>
              <w:spacing w:line="500" w:lineRule="atLeast"/>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615" w:type="dxa"/>
            <w:vAlign w:val="center"/>
          </w:tcPr>
          <w:p w:rsidR="00514373" w:rsidRPr="00535128" w:rsidRDefault="00514373" w:rsidP="00D42F87">
            <w:pPr>
              <w:pStyle w:val="ListParagraph"/>
              <w:widowControl/>
              <w:snapToGrid w:val="0"/>
              <w:spacing w:line="500" w:lineRule="atLeast"/>
              <w:ind w:leftChars="0" w:left="0"/>
              <w:jc w:val="center"/>
              <w:rPr>
                <w:rFonts w:ascii="標楷體" w:eastAsia="標楷體" w:hAnsi="標楷體"/>
                <w:b/>
                <w:sz w:val="28"/>
                <w:szCs w:val="28"/>
              </w:rPr>
            </w:pPr>
            <w:r w:rsidRPr="00535128">
              <w:rPr>
                <w:rFonts w:ascii="標楷體" w:eastAsia="標楷體" w:hAnsi="標楷體"/>
                <w:sz w:val="28"/>
                <w:szCs w:val="28"/>
              </w:rPr>
              <w:t>-</w:t>
            </w:r>
          </w:p>
        </w:tc>
      </w:tr>
    </w:tbl>
    <w:p w:rsidR="00514373" w:rsidRPr="00535128" w:rsidRDefault="00514373" w:rsidP="007A0952">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2</w:t>
      </w:r>
      <w:r w:rsidRPr="00535128">
        <w:rPr>
          <w:rFonts w:ascii="標楷體" w:eastAsia="標楷體" w:hAnsi="標楷體" w:hint="eastAsia"/>
          <w:sz w:val="28"/>
          <w:szCs w:val="28"/>
        </w:rPr>
        <w:t>、重要辦理情形：本會本年度自辦性平教育訓練</w:t>
      </w:r>
      <w:r w:rsidRPr="00535128">
        <w:rPr>
          <w:rFonts w:ascii="標楷體" w:eastAsia="標楷體" w:hAnsi="標楷體"/>
          <w:sz w:val="28"/>
          <w:szCs w:val="28"/>
        </w:rPr>
        <w:t>5</w:t>
      </w:r>
      <w:r w:rsidRPr="00535128">
        <w:rPr>
          <w:rFonts w:ascii="標楷體" w:eastAsia="標楷體" w:hAnsi="標楷體" w:hint="eastAsia"/>
          <w:sz w:val="28"/>
          <w:szCs w:val="28"/>
        </w:rPr>
        <w:t>場次，其中包含參訪、實體課程、數位學習等多元化方式辦理。</w:t>
      </w:r>
      <w:r w:rsidRPr="00535128">
        <w:rPr>
          <w:rFonts w:ascii="標楷體" w:eastAsia="標楷體" w:hAnsi="標楷體"/>
          <w:sz w:val="28"/>
          <w:szCs w:val="28"/>
        </w:rPr>
        <w:t>103</w:t>
      </w:r>
      <w:r w:rsidRPr="00535128">
        <w:rPr>
          <w:rFonts w:ascii="標楷體" w:eastAsia="標楷體" w:hAnsi="標楷體" w:hint="eastAsia"/>
          <w:sz w:val="28"/>
          <w:szCs w:val="28"/>
        </w:rPr>
        <w:t>年度本會參加性別主流化相關訓練課程人數共計</w:t>
      </w:r>
      <w:r w:rsidRPr="00535128">
        <w:rPr>
          <w:rFonts w:ascii="標楷體" w:eastAsia="標楷體" w:hAnsi="標楷體"/>
          <w:sz w:val="28"/>
          <w:szCs w:val="28"/>
        </w:rPr>
        <w:t>112</w:t>
      </w:r>
      <w:r w:rsidRPr="00535128">
        <w:rPr>
          <w:rFonts w:ascii="標楷體" w:eastAsia="標楷體" w:hAnsi="標楷體" w:hint="eastAsia"/>
          <w:sz w:val="28"/>
          <w:szCs w:val="28"/>
        </w:rPr>
        <w:t>人，其中男性</w:t>
      </w:r>
      <w:r w:rsidRPr="00535128">
        <w:rPr>
          <w:rFonts w:ascii="標楷體" w:eastAsia="標楷體" w:hAnsi="標楷體"/>
          <w:sz w:val="28"/>
          <w:szCs w:val="28"/>
        </w:rPr>
        <w:t>80</w:t>
      </w:r>
      <w:r w:rsidRPr="00535128">
        <w:rPr>
          <w:rFonts w:ascii="標楷體" w:eastAsia="標楷體" w:hAnsi="標楷體" w:hint="eastAsia"/>
          <w:sz w:val="28"/>
          <w:szCs w:val="28"/>
        </w:rPr>
        <w:t>人，女性</w:t>
      </w:r>
      <w:r w:rsidRPr="00535128">
        <w:rPr>
          <w:rFonts w:ascii="標楷體" w:eastAsia="標楷體" w:hAnsi="標楷體"/>
          <w:sz w:val="28"/>
          <w:szCs w:val="28"/>
        </w:rPr>
        <w:t>32</w:t>
      </w:r>
      <w:r w:rsidRPr="00535128">
        <w:rPr>
          <w:rFonts w:ascii="標楷體" w:eastAsia="標楷體" w:hAnsi="標楷體" w:hint="eastAsia"/>
          <w:sz w:val="28"/>
          <w:szCs w:val="28"/>
        </w:rPr>
        <w:t>人，占本會職員總數</w:t>
      </w:r>
      <w:r w:rsidRPr="00535128">
        <w:rPr>
          <w:rFonts w:ascii="標楷體" w:eastAsia="標楷體" w:hAnsi="標楷體"/>
          <w:sz w:val="28"/>
          <w:szCs w:val="28"/>
        </w:rPr>
        <w:t>(122</w:t>
      </w:r>
      <w:r w:rsidRPr="00535128">
        <w:rPr>
          <w:rFonts w:ascii="標楷體" w:eastAsia="標楷體" w:hAnsi="標楷體" w:hint="eastAsia"/>
          <w:sz w:val="28"/>
          <w:szCs w:val="28"/>
        </w:rPr>
        <w:t>人</w:t>
      </w:r>
      <w:r w:rsidRPr="00535128">
        <w:rPr>
          <w:rFonts w:ascii="標楷體" w:eastAsia="標楷體" w:hAnsi="標楷體"/>
          <w:sz w:val="28"/>
          <w:szCs w:val="28"/>
        </w:rPr>
        <w:t>)</w:t>
      </w:r>
      <w:r w:rsidRPr="00535128">
        <w:rPr>
          <w:rFonts w:ascii="標楷體" w:eastAsia="標楷體" w:hAnsi="標楷體" w:hint="eastAsia"/>
          <w:sz w:val="28"/>
          <w:szCs w:val="28"/>
        </w:rPr>
        <w:t>之</w:t>
      </w:r>
      <w:r w:rsidRPr="00535128">
        <w:rPr>
          <w:rFonts w:ascii="標楷體" w:eastAsia="標楷體" w:hAnsi="標楷體"/>
          <w:sz w:val="28"/>
          <w:szCs w:val="28"/>
        </w:rPr>
        <w:t>91.8%</w:t>
      </w:r>
      <w:r w:rsidRPr="00535128">
        <w:rPr>
          <w:rFonts w:ascii="標楷體" w:eastAsia="標楷體" w:hAnsi="標楷體" w:hint="eastAsia"/>
          <w:sz w:val="28"/>
          <w:szCs w:val="28"/>
        </w:rPr>
        <w:t>，男性參訓人數</w:t>
      </w:r>
      <w:r w:rsidRPr="00535128">
        <w:rPr>
          <w:rFonts w:ascii="標楷體" w:eastAsia="標楷體" w:hAnsi="標楷體"/>
          <w:sz w:val="28"/>
          <w:szCs w:val="28"/>
        </w:rPr>
        <w:t>(80</w:t>
      </w:r>
      <w:r w:rsidRPr="00535128">
        <w:rPr>
          <w:rFonts w:ascii="標楷體" w:eastAsia="標楷體" w:hAnsi="標楷體" w:hint="eastAsia"/>
          <w:sz w:val="28"/>
          <w:szCs w:val="28"/>
        </w:rPr>
        <w:t>人</w:t>
      </w:r>
      <w:r w:rsidRPr="00535128">
        <w:rPr>
          <w:rFonts w:ascii="標楷體" w:eastAsia="標楷體" w:hAnsi="標楷體"/>
          <w:sz w:val="28"/>
          <w:szCs w:val="28"/>
        </w:rPr>
        <w:t>)</w:t>
      </w:r>
      <w:r w:rsidRPr="00535128">
        <w:rPr>
          <w:rFonts w:ascii="標楷體" w:eastAsia="標楷體" w:hAnsi="標楷體" w:hint="eastAsia"/>
          <w:sz w:val="28"/>
          <w:szCs w:val="28"/>
        </w:rPr>
        <w:t>占全體男性職員</w:t>
      </w:r>
      <w:r w:rsidRPr="00535128">
        <w:rPr>
          <w:rFonts w:ascii="標楷體" w:eastAsia="標楷體" w:hAnsi="標楷體"/>
          <w:sz w:val="28"/>
          <w:szCs w:val="28"/>
        </w:rPr>
        <w:t>(87</w:t>
      </w:r>
      <w:r w:rsidRPr="00535128">
        <w:rPr>
          <w:rFonts w:ascii="標楷體" w:eastAsia="標楷體" w:hAnsi="標楷體" w:hint="eastAsia"/>
          <w:sz w:val="28"/>
          <w:szCs w:val="28"/>
        </w:rPr>
        <w:t>人</w:t>
      </w:r>
      <w:r w:rsidRPr="00535128">
        <w:rPr>
          <w:rFonts w:ascii="標楷體" w:eastAsia="標楷體" w:hAnsi="標楷體"/>
          <w:sz w:val="28"/>
          <w:szCs w:val="28"/>
        </w:rPr>
        <w:t>)</w:t>
      </w:r>
      <w:r w:rsidRPr="00535128">
        <w:rPr>
          <w:rFonts w:ascii="標楷體" w:eastAsia="標楷體" w:hAnsi="標楷體" w:hint="eastAsia"/>
          <w:sz w:val="28"/>
          <w:szCs w:val="28"/>
        </w:rPr>
        <w:t>之</w:t>
      </w:r>
      <w:r w:rsidRPr="00535128">
        <w:rPr>
          <w:rFonts w:ascii="標楷體" w:eastAsia="標楷體" w:hAnsi="標楷體"/>
          <w:sz w:val="28"/>
          <w:szCs w:val="28"/>
        </w:rPr>
        <w:t>91.95%</w:t>
      </w:r>
      <w:r w:rsidRPr="00535128">
        <w:rPr>
          <w:rFonts w:ascii="標楷體" w:eastAsia="標楷體" w:hAnsi="標楷體" w:hint="eastAsia"/>
          <w:sz w:val="28"/>
          <w:szCs w:val="28"/>
        </w:rPr>
        <w:t>、女性參訓人數</w:t>
      </w:r>
      <w:r w:rsidRPr="00535128">
        <w:rPr>
          <w:rFonts w:ascii="標楷體" w:eastAsia="標楷體" w:hAnsi="標楷體"/>
          <w:sz w:val="28"/>
          <w:szCs w:val="28"/>
        </w:rPr>
        <w:t>(32</w:t>
      </w:r>
      <w:r w:rsidRPr="00535128">
        <w:rPr>
          <w:rFonts w:ascii="標楷體" w:eastAsia="標楷體" w:hAnsi="標楷體" w:hint="eastAsia"/>
          <w:sz w:val="28"/>
          <w:szCs w:val="28"/>
        </w:rPr>
        <w:t>人</w:t>
      </w:r>
      <w:r w:rsidRPr="00535128">
        <w:rPr>
          <w:rFonts w:ascii="標楷體" w:eastAsia="標楷體" w:hAnsi="標楷體"/>
          <w:sz w:val="28"/>
          <w:szCs w:val="28"/>
        </w:rPr>
        <w:t>)</w:t>
      </w:r>
      <w:r w:rsidRPr="00535128">
        <w:rPr>
          <w:rFonts w:ascii="標楷體" w:eastAsia="標楷體" w:hAnsi="標楷體" w:hint="eastAsia"/>
          <w:sz w:val="28"/>
          <w:szCs w:val="28"/>
        </w:rPr>
        <w:t>占全體女性職員</w:t>
      </w:r>
      <w:r w:rsidRPr="00535128">
        <w:rPr>
          <w:rFonts w:ascii="標楷體" w:eastAsia="標楷體" w:hAnsi="標楷體"/>
          <w:sz w:val="28"/>
          <w:szCs w:val="28"/>
        </w:rPr>
        <w:t>(35</w:t>
      </w:r>
      <w:r w:rsidRPr="00535128">
        <w:rPr>
          <w:rFonts w:ascii="標楷體" w:eastAsia="標楷體" w:hAnsi="標楷體" w:hint="eastAsia"/>
          <w:sz w:val="28"/>
          <w:szCs w:val="28"/>
        </w:rPr>
        <w:t>人</w:t>
      </w:r>
      <w:r w:rsidRPr="00535128">
        <w:rPr>
          <w:rFonts w:ascii="標楷體" w:eastAsia="標楷體" w:hAnsi="標楷體"/>
          <w:sz w:val="28"/>
          <w:szCs w:val="28"/>
        </w:rPr>
        <w:t>)</w:t>
      </w:r>
      <w:r w:rsidRPr="00535128">
        <w:rPr>
          <w:rFonts w:ascii="標楷體" w:eastAsia="標楷體" w:hAnsi="標楷體" w:hint="eastAsia"/>
          <w:sz w:val="28"/>
          <w:szCs w:val="28"/>
        </w:rPr>
        <w:t>之</w:t>
      </w:r>
      <w:r w:rsidRPr="00535128">
        <w:rPr>
          <w:rFonts w:ascii="標楷體" w:eastAsia="標楷體" w:hAnsi="標楷體"/>
          <w:sz w:val="28"/>
          <w:szCs w:val="28"/>
        </w:rPr>
        <w:t>91.43%</w:t>
      </w:r>
      <w:r w:rsidRPr="00535128">
        <w:rPr>
          <w:rFonts w:ascii="標楷體" w:eastAsia="標楷體" w:hAnsi="標楷體" w:hint="eastAsia"/>
          <w:sz w:val="28"/>
          <w:szCs w:val="28"/>
        </w:rPr>
        <w:t>。</w:t>
      </w:r>
    </w:p>
    <w:p w:rsidR="00514373" w:rsidRPr="00535128" w:rsidRDefault="00514373" w:rsidP="007A0952">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3</w:t>
      </w:r>
      <w:r w:rsidRPr="00535128">
        <w:rPr>
          <w:rFonts w:ascii="標楷體" w:eastAsia="標楷體" w:hAnsi="標楷體" w:hint="eastAsia"/>
          <w:sz w:val="28"/>
          <w:szCs w:val="28"/>
        </w:rPr>
        <w:t>、檢討及策進作為：已達成年度目標，無相關檢討策進作為。為強化性別意識培力，本會將持續辦理性別培力訓練，提升同仁性別意識。</w:t>
      </w:r>
    </w:p>
    <w:p w:rsidR="00514373" w:rsidRPr="00535128" w:rsidRDefault="00514373" w:rsidP="007A0952">
      <w:pPr>
        <w:pStyle w:val="ListParagraph"/>
        <w:widowControl/>
        <w:snapToGrid w:val="0"/>
        <w:spacing w:line="500" w:lineRule="atLeast"/>
        <w:ind w:leftChars="140" w:left="3402" w:hangingChars="1094" w:hanging="3066"/>
        <w:rPr>
          <w:rFonts w:ascii="標楷體" w:eastAsia="標楷體" w:hAnsi="標楷體"/>
          <w:b/>
          <w:sz w:val="28"/>
          <w:szCs w:val="28"/>
        </w:rPr>
      </w:pPr>
      <w:r w:rsidRPr="00535128">
        <w:rPr>
          <w:rFonts w:ascii="標楷體" w:eastAsia="標楷體" w:hAnsi="標楷體" w:hint="eastAsia"/>
          <w:b/>
          <w:sz w:val="28"/>
          <w:szCs w:val="28"/>
        </w:rPr>
        <w:t>（二）關鍵績效指標</w:t>
      </w:r>
      <w:r w:rsidRPr="00535128">
        <w:rPr>
          <w:rFonts w:ascii="標楷體" w:eastAsia="標楷體" w:hAnsi="標楷體"/>
          <w:b/>
          <w:sz w:val="28"/>
          <w:szCs w:val="28"/>
        </w:rPr>
        <w:t>2</w:t>
      </w:r>
      <w:r w:rsidRPr="00535128">
        <w:rPr>
          <w:rFonts w:ascii="標楷體" w:eastAsia="標楷體" w:hAnsi="標楷體" w:hint="eastAsia"/>
          <w:b/>
          <w:sz w:val="28"/>
          <w:szCs w:val="28"/>
        </w:rPr>
        <w:t>：中長程個案計畫、計畫或措施訂定性別考核指標之案件數</w:t>
      </w:r>
    </w:p>
    <w:p w:rsidR="00514373" w:rsidRPr="00535128" w:rsidRDefault="00514373" w:rsidP="007A0952">
      <w:pPr>
        <w:widowControl/>
        <w:snapToGrid w:val="0"/>
        <w:spacing w:line="500" w:lineRule="atLeast"/>
        <w:ind w:leftChars="321" w:left="1529" w:hangingChars="271" w:hanging="759"/>
        <w:rPr>
          <w:rFonts w:ascii="標楷體" w:eastAsia="標楷體" w:hAnsi="標楷體"/>
          <w:sz w:val="28"/>
          <w:szCs w:val="28"/>
        </w:rPr>
      </w:pPr>
      <w:r w:rsidRPr="00535128">
        <w:rPr>
          <w:rFonts w:ascii="標楷體" w:eastAsia="標楷體" w:hAnsi="標楷體"/>
          <w:sz w:val="28"/>
          <w:szCs w:val="28"/>
        </w:rPr>
        <w:t>1</w:t>
      </w:r>
      <w:r w:rsidRPr="00535128">
        <w:rPr>
          <w:rFonts w:ascii="標楷體" w:eastAsia="標楷體" w:hAnsi="標楷體" w:hint="eastAsia"/>
          <w:sz w:val="28"/>
          <w:szCs w:val="28"/>
        </w:rPr>
        <w:t>、目標達成情形</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1614"/>
        <w:gridCol w:w="1615"/>
        <w:gridCol w:w="1615"/>
        <w:gridCol w:w="1615"/>
      </w:tblGrid>
      <w:tr w:rsidR="00514373" w:rsidRPr="00535128" w:rsidTr="00622A64">
        <w:trPr>
          <w:tblHeader/>
        </w:trPr>
        <w:tc>
          <w:tcPr>
            <w:tcW w:w="1985" w:type="dxa"/>
            <w:tcBorders>
              <w:tl2br w:val="single" w:sz="4" w:space="0" w:color="auto"/>
            </w:tcBorders>
            <w:vAlign w:val="bottom"/>
          </w:tcPr>
          <w:p w:rsidR="00514373" w:rsidRPr="00535128" w:rsidRDefault="00514373" w:rsidP="007A0952">
            <w:pPr>
              <w:pStyle w:val="ListParagraph"/>
              <w:widowControl/>
              <w:snapToGrid w:val="0"/>
              <w:spacing w:line="500" w:lineRule="atLeast"/>
              <w:ind w:leftChars="0" w:left="0"/>
              <w:jc w:val="right"/>
              <w:rPr>
                <w:rFonts w:ascii="標楷體" w:eastAsia="標楷體" w:hAnsi="標楷體"/>
                <w:sz w:val="28"/>
                <w:szCs w:val="28"/>
              </w:rPr>
            </w:pPr>
            <w:r w:rsidRPr="00535128">
              <w:rPr>
                <w:rFonts w:ascii="標楷體" w:eastAsia="標楷體" w:hAnsi="標楷體" w:hint="eastAsia"/>
                <w:sz w:val="28"/>
                <w:szCs w:val="28"/>
              </w:rPr>
              <w:t>年度</w:t>
            </w:r>
          </w:p>
          <w:p w:rsidR="00514373" w:rsidRPr="00535128" w:rsidRDefault="00514373" w:rsidP="007A0952">
            <w:pPr>
              <w:pStyle w:val="ListParagraph"/>
              <w:widowControl/>
              <w:snapToGrid w:val="0"/>
              <w:spacing w:line="500" w:lineRule="atLeast"/>
              <w:ind w:leftChars="0" w:left="0"/>
              <w:rPr>
                <w:rFonts w:ascii="標楷體" w:eastAsia="標楷體" w:hAnsi="標楷體"/>
                <w:sz w:val="28"/>
                <w:szCs w:val="28"/>
              </w:rPr>
            </w:pPr>
            <w:r w:rsidRPr="00535128">
              <w:rPr>
                <w:rFonts w:ascii="標楷體" w:eastAsia="標楷體" w:hAnsi="標楷體" w:hint="eastAsia"/>
                <w:sz w:val="28"/>
                <w:szCs w:val="28"/>
              </w:rPr>
              <w:t>項目</w:t>
            </w:r>
          </w:p>
        </w:tc>
        <w:tc>
          <w:tcPr>
            <w:tcW w:w="1614"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103</w:t>
            </w:r>
            <w:r w:rsidRPr="00535128">
              <w:rPr>
                <w:rFonts w:ascii="標楷體" w:eastAsia="標楷體" w:hAnsi="標楷體" w:hint="eastAsia"/>
                <w:sz w:val="28"/>
                <w:szCs w:val="28"/>
              </w:rPr>
              <w:t>年</w:t>
            </w:r>
          </w:p>
        </w:tc>
        <w:tc>
          <w:tcPr>
            <w:tcW w:w="161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104</w:t>
            </w:r>
            <w:r w:rsidRPr="00535128">
              <w:rPr>
                <w:rFonts w:ascii="標楷體" w:eastAsia="標楷體" w:hAnsi="標楷體" w:hint="eastAsia"/>
                <w:sz w:val="28"/>
                <w:szCs w:val="28"/>
              </w:rPr>
              <w:t>年</w:t>
            </w:r>
          </w:p>
        </w:tc>
        <w:tc>
          <w:tcPr>
            <w:tcW w:w="161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105</w:t>
            </w:r>
            <w:r w:rsidRPr="00535128">
              <w:rPr>
                <w:rFonts w:ascii="標楷體" w:eastAsia="標楷體" w:hAnsi="標楷體" w:hint="eastAsia"/>
                <w:sz w:val="28"/>
                <w:szCs w:val="28"/>
              </w:rPr>
              <w:t>年</w:t>
            </w:r>
          </w:p>
        </w:tc>
        <w:tc>
          <w:tcPr>
            <w:tcW w:w="161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106</w:t>
            </w:r>
            <w:r w:rsidRPr="00535128">
              <w:rPr>
                <w:rFonts w:ascii="標楷體" w:eastAsia="標楷體" w:hAnsi="標楷體" w:hint="eastAsia"/>
                <w:sz w:val="28"/>
                <w:szCs w:val="28"/>
              </w:rPr>
              <w:t>年</w:t>
            </w:r>
          </w:p>
        </w:tc>
      </w:tr>
      <w:tr w:rsidR="00514373" w:rsidRPr="00535128" w:rsidTr="00622A64">
        <w:tc>
          <w:tcPr>
            <w:tcW w:w="1985" w:type="dxa"/>
            <w:vAlign w:val="center"/>
          </w:tcPr>
          <w:p w:rsidR="00514373" w:rsidRPr="00535128" w:rsidRDefault="00514373" w:rsidP="009D4068">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衡量標準</w:t>
            </w:r>
          </w:p>
        </w:tc>
        <w:tc>
          <w:tcPr>
            <w:tcW w:w="6459" w:type="dxa"/>
            <w:gridSpan w:val="4"/>
            <w:vAlign w:val="center"/>
          </w:tcPr>
          <w:p w:rsidR="00514373" w:rsidRPr="00535128" w:rsidRDefault="00514373" w:rsidP="009D4068">
            <w:pPr>
              <w:widowControl/>
              <w:snapToGrid w:val="0"/>
              <w:jc w:val="both"/>
              <w:rPr>
                <w:rFonts w:ascii="標楷體" w:eastAsia="標楷體" w:hAnsi="標楷體"/>
                <w:b/>
                <w:sz w:val="28"/>
                <w:szCs w:val="28"/>
              </w:rPr>
            </w:pPr>
            <w:r w:rsidRPr="00535128">
              <w:rPr>
                <w:rFonts w:ascii="標楷體" w:eastAsia="標楷體" w:hAnsi="標楷體" w:hint="eastAsia"/>
                <w:b/>
                <w:sz w:val="28"/>
                <w:szCs w:val="28"/>
              </w:rPr>
              <w:t>本機關及所屬機關年度提報之中長程個案計畫、計畫或措施訂定性別考核指標之案件數</w:t>
            </w:r>
          </w:p>
          <w:p w:rsidR="00514373" w:rsidRPr="00535128" w:rsidRDefault="00514373" w:rsidP="009D4068">
            <w:pPr>
              <w:pStyle w:val="ListParagraph"/>
              <w:widowControl/>
              <w:snapToGrid w:val="0"/>
              <w:ind w:leftChars="0" w:left="0"/>
              <w:jc w:val="both"/>
              <w:rPr>
                <w:rFonts w:ascii="標楷體" w:eastAsia="標楷體" w:hAnsi="標楷體"/>
                <w:b/>
                <w:sz w:val="28"/>
                <w:szCs w:val="28"/>
              </w:rPr>
            </w:pPr>
            <w:r w:rsidRPr="00535128">
              <w:rPr>
                <w:rFonts w:ascii="標楷體" w:eastAsia="標楷體" w:hAnsi="標楷體" w:hint="eastAsia"/>
                <w:b/>
                <w:sz w:val="28"/>
                <w:szCs w:val="28"/>
              </w:rPr>
              <w:t>（註：性別考核指標係指為衡量性別目標達成情形所訂之績效指標。）</w:t>
            </w:r>
          </w:p>
        </w:tc>
      </w:tr>
      <w:tr w:rsidR="00514373" w:rsidRPr="00535128" w:rsidTr="00622A64">
        <w:trPr>
          <w:trHeight w:val="612"/>
        </w:trPr>
        <w:tc>
          <w:tcPr>
            <w:tcW w:w="1985" w:type="dxa"/>
            <w:vAlign w:val="center"/>
          </w:tcPr>
          <w:p w:rsidR="00514373" w:rsidRPr="00535128" w:rsidRDefault="00514373" w:rsidP="009D4068">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目標值</w:t>
            </w:r>
            <w:r w:rsidRPr="00535128">
              <w:rPr>
                <w:rFonts w:ascii="標楷體" w:eastAsia="標楷體" w:hAnsi="標楷體"/>
                <w:sz w:val="28"/>
                <w:szCs w:val="28"/>
              </w:rPr>
              <w:t>(X)</w:t>
            </w:r>
          </w:p>
        </w:tc>
        <w:tc>
          <w:tcPr>
            <w:tcW w:w="1614" w:type="dxa"/>
            <w:vAlign w:val="center"/>
          </w:tcPr>
          <w:p w:rsidR="00514373" w:rsidRPr="00535128" w:rsidRDefault="00514373" w:rsidP="009D4068">
            <w:pPr>
              <w:pStyle w:val="ListParagraph"/>
              <w:widowControl/>
              <w:snapToGrid w:val="0"/>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3</w:t>
            </w:r>
          </w:p>
        </w:tc>
        <w:tc>
          <w:tcPr>
            <w:tcW w:w="1615" w:type="dxa"/>
            <w:vAlign w:val="center"/>
          </w:tcPr>
          <w:p w:rsidR="00514373" w:rsidRPr="00535128" w:rsidRDefault="00514373" w:rsidP="009D4068">
            <w:pPr>
              <w:pStyle w:val="ListParagraph"/>
              <w:widowControl/>
              <w:snapToGrid w:val="0"/>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1</w:t>
            </w:r>
          </w:p>
        </w:tc>
        <w:tc>
          <w:tcPr>
            <w:tcW w:w="1615" w:type="dxa"/>
            <w:vAlign w:val="center"/>
          </w:tcPr>
          <w:p w:rsidR="00514373" w:rsidRPr="00535128" w:rsidRDefault="00514373" w:rsidP="009D4068">
            <w:pPr>
              <w:pStyle w:val="ListParagraph"/>
              <w:widowControl/>
              <w:snapToGrid w:val="0"/>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1</w:t>
            </w:r>
          </w:p>
        </w:tc>
        <w:tc>
          <w:tcPr>
            <w:tcW w:w="1615" w:type="dxa"/>
            <w:vAlign w:val="center"/>
          </w:tcPr>
          <w:p w:rsidR="00514373" w:rsidRPr="00535128" w:rsidRDefault="00514373" w:rsidP="009D4068">
            <w:pPr>
              <w:pStyle w:val="ListParagraph"/>
              <w:widowControl/>
              <w:snapToGrid w:val="0"/>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1</w:t>
            </w:r>
          </w:p>
        </w:tc>
      </w:tr>
      <w:tr w:rsidR="00514373" w:rsidRPr="00535128" w:rsidTr="00622A64">
        <w:trPr>
          <w:trHeight w:val="612"/>
        </w:trPr>
        <w:tc>
          <w:tcPr>
            <w:tcW w:w="1985" w:type="dxa"/>
            <w:vAlign w:val="center"/>
          </w:tcPr>
          <w:p w:rsidR="00514373" w:rsidRPr="00535128" w:rsidRDefault="00514373" w:rsidP="009D4068">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實際值</w:t>
            </w:r>
            <w:r w:rsidRPr="00535128">
              <w:rPr>
                <w:rFonts w:ascii="標楷體" w:eastAsia="標楷體" w:hAnsi="標楷體"/>
                <w:sz w:val="28"/>
                <w:szCs w:val="28"/>
              </w:rPr>
              <w:t>(Y)</w:t>
            </w:r>
          </w:p>
        </w:tc>
        <w:tc>
          <w:tcPr>
            <w:tcW w:w="1614" w:type="dxa"/>
            <w:vAlign w:val="center"/>
          </w:tcPr>
          <w:p w:rsidR="00514373" w:rsidRPr="00535128" w:rsidRDefault="00514373" w:rsidP="009D4068">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3</w:t>
            </w:r>
          </w:p>
        </w:tc>
        <w:tc>
          <w:tcPr>
            <w:tcW w:w="1615" w:type="dxa"/>
            <w:vAlign w:val="center"/>
          </w:tcPr>
          <w:p w:rsidR="00514373" w:rsidRPr="00535128" w:rsidRDefault="00514373" w:rsidP="009D4068">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615" w:type="dxa"/>
            <w:vAlign w:val="center"/>
          </w:tcPr>
          <w:p w:rsidR="00514373" w:rsidRPr="00535128" w:rsidRDefault="00514373" w:rsidP="009D4068">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615" w:type="dxa"/>
            <w:vAlign w:val="center"/>
          </w:tcPr>
          <w:p w:rsidR="00514373" w:rsidRPr="00535128" w:rsidRDefault="00514373" w:rsidP="009D4068">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r>
      <w:tr w:rsidR="00514373" w:rsidRPr="00535128" w:rsidTr="00622A64">
        <w:trPr>
          <w:trHeight w:val="612"/>
        </w:trPr>
        <w:tc>
          <w:tcPr>
            <w:tcW w:w="1985" w:type="dxa"/>
            <w:vAlign w:val="center"/>
          </w:tcPr>
          <w:p w:rsidR="00514373" w:rsidRPr="00535128" w:rsidRDefault="00514373" w:rsidP="009D4068">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達成度</w:t>
            </w:r>
            <w:r w:rsidRPr="00535128">
              <w:rPr>
                <w:rFonts w:ascii="標楷體" w:eastAsia="標楷體" w:hAnsi="標楷體"/>
                <w:sz w:val="28"/>
                <w:szCs w:val="28"/>
              </w:rPr>
              <w:t>(Y/X)</w:t>
            </w:r>
          </w:p>
        </w:tc>
        <w:tc>
          <w:tcPr>
            <w:tcW w:w="1614" w:type="dxa"/>
            <w:vAlign w:val="center"/>
          </w:tcPr>
          <w:p w:rsidR="00514373" w:rsidRPr="00622A64" w:rsidRDefault="00514373" w:rsidP="009D4068">
            <w:pPr>
              <w:pStyle w:val="ListParagraph"/>
              <w:widowControl/>
              <w:snapToGrid w:val="0"/>
              <w:ind w:leftChars="0" w:left="0"/>
              <w:jc w:val="center"/>
              <w:rPr>
                <w:rFonts w:ascii="標楷體" w:eastAsia="標楷體" w:hAnsi="標楷體"/>
                <w:sz w:val="28"/>
                <w:szCs w:val="28"/>
              </w:rPr>
            </w:pPr>
            <w:r w:rsidRPr="00622A64">
              <w:rPr>
                <w:rFonts w:ascii="標楷體" w:eastAsia="標楷體" w:hAnsi="標楷體"/>
                <w:sz w:val="28"/>
                <w:szCs w:val="28"/>
              </w:rPr>
              <w:t>100</w:t>
            </w:r>
          </w:p>
        </w:tc>
        <w:tc>
          <w:tcPr>
            <w:tcW w:w="1615" w:type="dxa"/>
            <w:vAlign w:val="center"/>
          </w:tcPr>
          <w:p w:rsidR="00514373" w:rsidRPr="00535128" w:rsidRDefault="00514373" w:rsidP="009D4068">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615" w:type="dxa"/>
            <w:vAlign w:val="center"/>
          </w:tcPr>
          <w:p w:rsidR="00514373" w:rsidRPr="00535128" w:rsidRDefault="00514373" w:rsidP="009D4068">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615" w:type="dxa"/>
            <w:vAlign w:val="center"/>
          </w:tcPr>
          <w:p w:rsidR="00514373" w:rsidRPr="00535128" w:rsidRDefault="00514373" w:rsidP="009D4068">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r>
    </w:tbl>
    <w:p w:rsidR="00514373" w:rsidRPr="00622A64" w:rsidRDefault="00514373" w:rsidP="00482C79">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2</w:t>
      </w:r>
      <w:r w:rsidRPr="00535128">
        <w:rPr>
          <w:rFonts w:ascii="標楷體" w:eastAsia="標楷體" w:hAnsi="標楷體" w:hint="eastAsia"/>
          <w:sz w:val="28"/>
          <w:szCs w:val="28"/>
        </w:rPr>
        <w:t>、重要辦理情形：本會中長程措施訂定性別考核指標之案件數，係以「專家學者建議名單資料庫審議小組之女性委員年度增加百分比」、</w:t>
      </w:r>
      <w:r w:rsidRPr="00622A64">
        <w:rPr>
          <w:rFonts w:ascii="標楷體" w:eastAsia="標楷體" w:hAnsi="標楷體" w:hint="eastAsia"/>
          <w:sz w:val="28"/>
          <w:szCs w:val="28"/>
        </w:rPr>
        <w:t>「女性查核委員參加施工查核作業之比率」及「全民監督公共工程通報系統性別統計」作為</w:t>
      </w:r>
      <w:r w:rsidRPr="00622A64">
        <w:rPr>
          <w:rFonts w:ascii="標楷體" w:eastAsia="標楷體" w:hAnsi="標楷體"/>
          <w:sz w:val="28"/>
          <w:szCs w:val="28"/>
        </w:rPr>
        <w:t>103</w:t>
      </w:r>
      <w:r w:rsidRPr="00622A64">
        <w:rPr>
          <w:rFonts w:ascii="標楷體" w:eastAsia="標楷體" w:hAnsi="標楷體" w:hint="eastAsia"/>
          <w:sz w:val="28"/>
          <w:szCs w:val="28"/>
        </w:rPr>
        <w:t>年度推動案件。</w:t>
      </w:r>
    </w:p>
    <w:p w:rsidR="00514373" w:rsidRPr="00535128" w:rsidRDefault="00514373" w:rsidP="00482C79">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(1)</w:t>
      </w:r>
      <w:r w:rsidRPr="00535128">
        <w:rPr>
          <w:rFonts w:ascii="標楷體" w:eastAsia="標楷體" w:hAnsi="標楷體" w:hint="eastAsia"/>
          <w:sz w:val="28"/>
          <w:szCs w:val="28"/>
        </w:rPr>
        <w:t>「專家學者建議名單資料庫審議小組之女性委員年度增加百分比」：查「專家學者建議名單資料庫審議小組」</w:t>
      </w:r>
      <w:r w:rsidRPr="00535128">
        <w:rPr>
          <w:rFonts w:ascii="標楷體" w:eastAsia="標楷體" w:hAnsi="標楷體"/>
          <w:sz w:val="28"/>
          <w:szCs w:val="28"/>
        </w:rPr>
        <w:t>(</w:t>
      </w:r>
      <w:r w:rsidRPr="00535128">
        <w:rPr>
          <w:rFonts w:ascii="標楷體" w:eastAsia="標楷體" w:hAnsi="標楷體" w:hint="eastAsia"/>
          <w:sz w:val="28"/>
          <w:szCs w:val="28"/>
        </w:rPr>
        <w:t>下稱本小組</w:t>
      </w:r>
      <w:r w:rsidRPr="00535128">
        <w:rPr>
          <w:rFonts w:ascii="標楷體" w:eastAsia="標楷體" w:hAnsi="標楷體"/>
          <w:sz w:val="28"/>
          <w:szCs w:val="28"/>
        </w:rPr>
        <w:t>)100</w:t>
      </w:r>
      <w:r w:rsidRPr="00535128">
        <w:rPr>
          <w:rFonts w:ascii="標楷體" w:eastAsia="標楷體" w:hAnsi="標楷體" w:hint="eastAsia"/>
          <w:sz w:val="28"/>
          <w:szCs w:val="28"/>
        </w:rPr>
        <w:t>年、</w:t>
      </w:r>
      <w:r w:rsidRPr="00535128">
        <w:rPr>
          <w:rFonts w:ascii="標楷體" w:eastAsia="標楷體" w:hAnsi="標楷體"/>
          <w:sz w:val="28"/>
          <w:szCs w:val="28"/>
        </w:rPr>
        <w:t>101</w:t>
      </w:r>
      <w:r w:rsidRPr="00535128">
        <w:rPr>
          <w:rFonts w:ascii="標楷體" w:eastAsia="標楷體" w:hAnsi="標楷體" w:hint="eastAsia"/>
          <w:sz w:val="28"/>
          <w:szCs w:val="28"/>
        </w:rPr>
        <w:t>年均為</w:t>
      </w:r>
      <w:r w:rsidRPr="00535128">
        <w:rPr>
          <w:rFonts w:ascii="標楷體" w:eastAsia="標楷體" w:hAnsi="標楷體"/>
          <w:sz w:val="28"/>
          <w:szCs w:val="28"/>
        </w:rPr>
        <w:t>8</w:t>
      </w:r>
      <w:r w:rsidRPr="00535128">
        <w:rPr>
          <w:rFonts w:ascii="標楷體" w:eastAsia="標楷體" w:hAnsi="標楷體" w:hint="eastAsia"/>
          <w:sz w:val="28"/>
          <w:szCs w:val="28"/>
        </w:rPr>
        <w:t>名委員</w:t>
      </w:r>
      <w:r w:rsidRPr="00535128">
        <w:rPr>
          <w:rFonts w:ascii="標楷體" w:eastAsia="標楷體" w:hAnsi="標楷體"/>
          <w:sz w:val="28"/>
          <w:szCs w:val="28"/>
        </w:rPr>
        <w:t>(</w:t>
      </w:r>
      <w:r w:rsidRPr="00535128">
        <w:rPr>
          <w:rFonts w:ascii="標楷體" w:eastAsia="標楷體" w:hAnsi="標楷體" w:hint="eastAsia"/>
          <w:sz w:val="28"/>
          <w:szCs w:val="28"/>
        </w:rPr>
        <w:t>無女性委員</w:t>
      </w:r>
      <w:r w:rsidRPr="00535128">
        <w:rPr>
          <w:rFonts w:ascii="標楷體" w:eastAsia="標楷體" w:hAnsi="標楷體"/>
          <w:sz w:val="28"/>
          <w:szCs w:val="28"/>
        </w:rPr>
        <w:t>)</w:t>
      </w:r>
      <w:r w:rsidRPr="00535128">
        <w:rPr>
          <w:rFonts w:ascii="標楷體" w:eastAsia="標楷體" w:hAnsi="標楷體" w:hint="eastAsia"/>
          <w:sz w:val="28"/>
          <w:szCs w:val="28"/>
        </w:rPr>
        <w:t>，本小組委員總人數自</w:t>
      </w:r>
      <w:r w:rsidRPr="00535128">
        <w:rPr>
          <w:rFonts w:ascii="標楷體" w:eastAsia="標楷體" w:hAnsi="標楷體"/>
          <w:sz w:val="28"/>
          <w:szCs w:val="28"/>
        </w:rPr>
        <w:t>103</w:t>
      </w:r>
      <w:r w:rsidRPr="00535128">
        <w:rPr>
          <w:rFonts w:ascii="標楷體" w:eastAsia="標楷體" w:hAnsi="標楷體" w:hint="eastAsia"/>
          <w:sz w:val="28"/>
          <w:szCs w:val="28"/>
        </w:rPr>
        <w:t>年度起由</w:t>
      </w:r>
      <w:r w:rsidRPr="00535128">
        <w:rPr>
          <w:rFonts w:ascii="標楷體" w:eastAsia="標楷體" w:hAnsi="標楷體"/>
          <w:sz w:val="28"/>
          <w:szCs w:val="28"/>
        </w:rPr>
        <w:t>8</w:t>
      </w:r>
      <w:r w:rsidRPr="00535128">
        <w:rPr>
          <w:rFonts w:ascii="標楷體" w:eastAsia="標楷體" w:hAnsi="標楷體" w:hint="eastAsia"/>
          <w:sz w:val="28"/>
          <w:szCs w:val="28"/>
        </w:rPr>
        <w:t>人提升至</w:t>
      </w:r>
      <w:r w:rsidRPr="00535128">
        <w:rPr>
          <w:rFonts w:ascii="標楷體" w:eastAsia="標楷體" w:hAnsi="標楷體"/>
          <w:sz w:val="28"/>
          <w:szCs w:val="28"/>
        </w:rPr>
        <w:t>9</w:t>
      </w:r>
      <w:r w:rsidRPr="00535128">
        <w:rPr>
          <w:rFonts w:ascii="標楷體" w:eastAsia="標楷體" w:hAnsi="標楷體" w:hint="eastAsia"/>
          <w:sz w:val="28"/>
          <w:szCs w:val="28"/>
        </w:rPr>
        <w:t>人，其中</w:t>
      </w:r>
      <w:r w:rsidRPr="00535128">
        <w:rPr>
          <w:rFonts w:ascii="標楷體" w:eastAsia="標楷體" w:hAnsi="標楷體"/>
          <w:sz w:val="28"/>
          <w:szCs w:val="28"/>
        </w:rPr>
        <w:t>3</w:t>
      </w:r>
      <w:r w:rsidRPr="00535128">
        <w:rPr>
          <w:rFonts w:ascii="標楷體" w:eastAsia="標楷體" w:hAnsi="標楷體" w:hint="eastAsia"/>
          <w:sz w:val="28"/>
          <w:szCs w:val="28"/>
        </w:rPr>
        <w:t>位為女性，女性比率</w:t>
      </w:r>
      <w:r w:rsidRPr="00535128">
        <w:rPr>
          <w:rFonts w:ascii="標楷體" w:eastAsia="標楷體" w:hAnsi="標楷體"/>
          <w:sz w:val="28"/>
          <w:szCs w:val="28"/>
        </w:rPr>
        <w:t>33%</w:t>
      </w:r>
      <w:r w:rsidRPr="00535128">
        <w:rPr>
          <w:rFonts w:ascii="標楷體" w:eastAsia="標楷體" w:hAnsi="標楷體" w:hint="eastAsia"/>
          <w:sz w:val="28"/>
          <w:szCs w:val="28"/>
        </w:rPr>
        <w:t>，已達成</w:t>
      </w:r>
      <w:r w:rsidRPr="00535128">
        <w:rPr>
          <w:rFonts w:ascii="標楷體" w:eastAsia="標楷體" w:hAnsi="標楷體"/>
          <w:sz w:val="28"/>
          <w:szCs w:val="28"/>
        </w:rPr>
        <w:t>103</w:t>
      </w:r>
      <w:r w:rsidRPr="00535128">
        <w:rPr>
          <w:rFonts w:ascii="標楷體" w:eastAsia="標楷體" w:hAnsi="標楷體" w:hint="eastAsia"/>
          <w:sz w:val="28"/>
          <w:szCs w:val="28"/>
        </w:rPr>
        <w:t>年預定目標</w:t>
      </w:r>
      <w:r w:rsidRPr="00535128">
        <w:rPr>
          <w:rFonts w:ascii="標楷體" w:eastAsia="標楷體" w:hAnsi="標楷體"/>
          <w:sz w:val="28"/>
          <w:szCs w:val="28"/>
        </w:rPr>
        <w:t>25%</w:t>
      </w:r>
      <w:r w:rsidRPr="00535128">
        <w:rPr>
          <w:rFonts w:ascii="標楷體" w:eastAsia="標楷體" w:hAnsi="標楷體" w:hint="eastAsia"/>
          <w:sz w:val="28"/>
          <w:szCs w:val="28"/>
        </w:rPr>
        <w:t>。</w:t>
      </w:r>
    </w:p>
    <w:p w:rsidR="00514373" w:rsidRPr="00535128" w:rsidRDefault="00514373" w:rsidP="00482C79">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(2)</w:t>
      </w:r>
      <w:r w:rsidRPr="00622A64">
        <w:rPr>
          <w:rFonts w:ascii="標楷體" w:eastAsia="標楷體" w:hAnsi="標楷體" w:hint="eastAsia"/>
          <w:sz w:val="28"/>
          <w:szCs w:val="28"/>
        </w:rPr>
        <w:t>「女性查核委員參加施工查核作業之比率」：經</w:t>
      </w:r>
      <w:r w:rsidRPr="00535128">
        <w:rPr>
          <w:rFonts w:ascii="標楷體" w:eastAsia="標楷體" w:hAnsi="標楷體" w:hint="eastAsia"/>
          <w:sz w:val="28"/>
          <w:szCs w:val="28"/>
        </w:rPr>
        <w:t>統計</w:t>
      </w:r>
      <w:r w:rsidRPr="00535128">
        <w:rPr>
          <w:rFonts w:ascii="標楷體" w:eastAsia="標楷體" w:hAnsi="標楷體"/>
          <w:sz w:val="28"/>
          <w:szCs w:val="28"/>
        </w:rPr>
        <w:t>103</w:t>
      </w:r>
      <w:r w:rsidRPr="00535128">
        <w:rPr>
          <w:rFonts w:ascii="標楷體" w:eastAsia="標楷體" w:hAnsi="標楷體" w:hint="eastAsia"/>
          <w:sz w:val="28"/>
          <w:szCs w:val="28"/>
        </w:rPr>
        <w:t>年聘有</w:t>
      </w:r>
      <w:r w:rsidRPr="00535128">
        <w:rPr>
          <w:rFonts w:ascii="標楷體" w:eastAsia="標楷體" w:hAnsi="標楷體"/>
          <w:sz w:val="28"/>
          <w:szCs w:val="28"/>
        </w:rPr>
        <w:t>7</w:t>
      </w:r>
      <w:r w:rsidRPr="00535128">
        <w:rPr>
          <w:rFonts w:ascii="標楷體" w:eastAsia="標楷體" w:hAnsi="標楷體" w:hint="eastAsia"/>
          <w:sz w:val="28"/>
          <w:szCs w:val="28"/>
        </w:rPr>
        <w:t>位女性查核委員，較</w:t>
      </w:r>
      <w:r w:rsidRPr="00535128">
        <w:rPr>
          <w:rFonts w:ascii="標楷體" w:eastAsia="標楷體" w:hAnsi="標楷體"/>
          <w:sz w:val="28"/>
          <w:szCs w:val="28"/>
        </w:rPr>
        <w:t>102</w:t>
      </w:r>
      <w:r w:rsidRPr="00535128">
        <w:rPr>
          <w:rFonts w:ascii="標楷體" w:eastAsia="標楷體" w:hAnsi="標楷體" w:hint="eastAsia"/>
          <w:sz w:val="28"/>
          <w:szCs w:val="28"/>
        </w:rPr>
        <w:t>年聘女性委員</w:t>
      </w:r>
      <w:r w:rsidRPr="00535128">
        <w:rPr>
          <w:rFonts w:ascii="標楷體" w:eastAsia="標楷體" w:hAnsi="標楷體"/>
          <w:sz w:val="28"/>
          <w:szCs w:val="28"/>
        </w:rPr>
        <w:t>19</w:t>
      </w:r>
      <w:r w:rsidRPr="00535128">
        <w:rPr>
          <w:rFonts w:ascii="標楷體" w:eastAsia="標楷體" w:hAnsi="標楷體" w:hint="eastAsia"/>
          <w:sz w:val="28"/>
          <w:szCs w:val="28"/>
        </w:rPr>
        <w:t>位增加</w:t>
      </w:r>
      <w:r w:rsidRPr="00535128">
        <w:rPr>
          <w:rFonts w:ascii="標楷體" w:eastAsia="標楷體" w:hAnsi="標楷體"/>
          <w:sz w:val="28"/>
          <w:szCs w:val="28"/>
        </w:rPr>
        <w:t>8</w:t>
      </w:r>
      <w:r w:rsidRPr="00535128">
        <w:rPr>
          <w:rFonts w:ascii="標楷體" w:eastAsia="標楷體" w:hAnsi="標楷體" w:hint="eastAsia"/>
          <w:sz w:val="28"/>
          <w:szCs w:val="28"/>
        </w:rPr>
        <w:t>位，增加率為</w:t>
      </w:r>
      <w:r w:rsidRPr="00535128">
        <w:rPr>
          <w:rFonts w:ascii="標楷體" w:eastAsia="標楷體" w:hAnsi="標楷體"/>
          <w:sz w:val="28"/>
          <w:szCs w:val="28"/>
        </w:rPr>
        <w:t>42%</w:t>
      </w:r>
      <w:r w:rsidRPr="00535128">
        <w:rPr>
          <w:rFonts w:ascii="標楷體" w:eastAsia="標楷體" w:hAnsi="標楷體" w:hint="eastAsia"/>
          <w:sz w:val="28"/>
          <w:szCs w:val="28"/>
        </w:rPr>
        <w:t>，且</w:t>
      </w:r>
      <w:r w:rsidRPr="00535128">
        <w:rPr>
          <w:rFonts w:ascii="標楷體" w:eastAsia="標楷體" w:hAnsi="標楷體"/>
          <w:sz w:val="28"/>
          <w:szCs w:val="28"/>
        </w:rPr>
        <w:t>103</w:t>
      </w:r>
      <w:r w:rsidRPr="00535128">
        <w:rPr>
          <w:rFonts w:ascii="標楷體" w:eastAsia="標楷體" w:hAnsi="標楷體" w:hint="eastAsia"/>
          <w:sz w:val="28"/>
          <w:szCs w:val="28"/>
        </w:rPr>
        <w:t>年度女性查核委員參加施工查核作業之比率為</w:t>
      </w:r>
      <w:r w:rsidRPr="00535128">
        <w:rPr>
          <w:rFonts w:ascii="標楷體" w:eastAsia="標楷體" w:hAnsi="標楷體"/>
          <w:sz w:val="28"/>
          <w:szCs w:val="28"/>
        </w:rPr>
        <w:t>2.05%</w:t>
      </w:r>
      <w:r w:rsidRPr="00535128">
        <w:rPr>
          <w:rFonts w:ascii="標楷體" w:eastAsia="標楷體" w:hAnsi="標楷體" w:hint="eastAsia"/>
          <w:sz w:val="28"/>
          <w:szCs w:val="28"/>
        </w:rPr>
        <w:t>，已達成</w:t>
      </w:r>
      <w:r w:rsidRPr="00535128">
        <w:rPr>
          <w:rFonts w:ascii="標楷體" w:eastAsia="標楷體" w:hAnsi="標楷體"/>
          <w:sz w:val="28"/>
          <w:szCs w:val="28"/>
        </w:rPr>
        <w:t>103</w:t>
      </w:r>
      <w:r w:rsidRPr="00535128">
        <w:rPr>
          <w:rFonts w:ascii="標楷體" w:eastAsia="標楷體" w:hAnsi="標楷體" w:hint="eastAsia"/>
          <w:sz w:val="28"/>
          <w:szCs w:val="28"/>
        </w:rPr>
        <w:t>年預定目標</w:t>
      </w:r>
      <w:r w:rsidRPr="00535128">
        <w:rPr>
          <w:rFonts w:ascii="標楷體" w:eastAsia="標楷體" w:hAnsi="標楷體"/>
          <w:sz w:val="28"/>
          <w:szCs w:val="28"/>
        </w:rPr>
        <w:t>1.80%</w:t>
      </w:r>
      <w:r w:rsidRPr="00535128">
        <w:rPr>
          <w:rFonts w:ascii="標楷體" w:eastAsia="標楷體" w:hAnsi="標楷體" w:hint="eastAsia"/>
          <w:sz w:val="28"/>
          <w:szCs w:val="28"/>
        </w:rPr>
        <w:t>。</w:t>
      </w:r>
    </w:p>
    <w:p w:rsidR="00514373" w:rsidRPr="00535128" w:rsidRDefault="00514373" w:rsidP="00482C79">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(3)</w:t>
      </w:r>
      <w:r w:rsidRPr="00622A64">
        <w:rPr>
          <w:rFonts w:ascii="標楷體" w:eastAsia="標楷體" w:hAnsi="標楷體" w:hint="eastAsia"/>
          <w:sz w:val="28"/>
          <w:szCs w:val="28"/>
        </w:rPr>
        <w:t>「全民監督公共工程通報系統性別統計」：全</w:t>
      </w:r>
      <w:r w:rsidRPr="00535128">
        <w:rPr>
          <w:rFonts w:ascii="標楷體" w:eastAsia="標楷體" w:hAnsi="標楷體" w:hint="eastAsia"/>
          <w:sz w:val="28"/>
          <w:szCs w:val="28"/>
        </w:rPr>
        <w:t>民監督公共工程通報系統管道多元，通報民眾不分男、女、老幼婦孺等對象均可通報，另本會業於</w:t>
      </w:r>
      <w:r w:rsidRPr="00535128">
        <w:rPr>
          <w:rFonts w:ascii="標楷體" w:eastAsia="標楷體" w:hAnsi="標楷體"/>
          <w:sz w:val="28"/>
          <w:szCs w:val="28"/>
        </w:rPr>
        <w:t>101</w:t>
      </w:r>
      <w:r w:rsidRPr="00535128">
        <w:rPr>
          <w:rFonts w:ascii="標楷體" w:eastAsia="標楷體" w:hAnsi="標楷體" w:hint="eastAsia"/>
          <w:sz w:val="28"/>
          <w:szCs w:val="28"/>
        </w:rPr>
        <w:t>年</w:t>
      </w:r>
      <w:r w:rsidRPr="00535128">
        <w:rPr>
          <w:rFonts w:ascii="標楷體" w:eastAsia="標楷體" w:hAnsi="標楷體"/>
          <w:sz w:val="28"/>
          <w:szCs w:val="28"/>
        </w:rPr>
        <w:t>12</w:t>
      </w:r>
      <w:r w:rsidRPr="00535128">
        <w:rPr>
          <w:rFonts w:ascii="標楷體" w:eastAsia="標楷體" w:hAnsi="標楷體" w:hint="eastAsia"/>
          <w:sz w:val="28"/>
          <w:szCs w:val="28"/>
        </w:rPr>
        <w:t>月</w:t>
      </w:r>
      <w:r w:rsidRPr="00535128">
        <w:rPr>
          <w:rFonts w:ascii="標楷體" w:eastAsia="標楷體" w:hAnsi="標楷體"/>
          <w:sz w:val="28"/>
          <w:szCs w:val="28"/>
        </w:rPr>
        <w:t>5</w:t>
      </w:r>
      <w:r w:rsidRPr="00535128">
        <w:rPr>
          <w:rFonts w:ascii="標楷體" w:eastAsia="標楷體" w:hAnsi="標楷體" w:hint="eastAsia"/>
          <w:sz w:val="28"/>
          <w:szCs w:val="28"/>
        </w:rPr>
        <w:t>日進一步完成</w:t>
      </w:r>
      <w:r w:rsidRPr="00535128">
        <w:rPr>
          <w:rFonts w:ascii="標楷體" w:eastAsia="標楷體" w:hAnsi="標楷體"/>
          <w:sz w:val="28"/>
          <w:szCs w:val="28"/>
        </w:rPr>
        <w:t>APP</w:t>
      </w:r>
      <w:r w:rsidRPr="00535128">
        <w:rPr>
          <w:rFonts w:ascii="標楷體" w:eastAsia="標楷體" w:hAnsi="標楷體" w:hint="eastAsia"/>
          <w:sz w:val="28"/>
          <w:szCs w:val="28"/>
        </w:rPr>
        <w:t>通報程式開發，不論城鄉居民均可利用手機進行時通報。本系統已對性別進行統計，</w:t>
      </w:r>
      <w:r w:rsidRPr="00535128">
        <w:rPr>
          <w:rFonts w:ascii="標楷體" w:eastAsia="標楷體" w:hAnsi="標楷體"/>
          <w:sz w:val="28"/>
          <w:szCs w:val="28"/>
        </w:rPr>
        <w:t>103</w:t>
      </w:r>
      <w:r w:rsidRPr="00535128">
        <w:rPr>
          <w:rFonts w:ascii="標楷體" w:eastAsia="標楷體" w:hAnsi="標楷體" w:hint="eastAsia"/>
          <w:sz w:val="28"/>
          <w:szCs w:val="28"/>
        </w:rPr>
        <w:t>年度通報民眾男性</w:t>
      </w:r>
      <w:r w:rsidRPr="00535128">
        <w:rPr>
          <w:rFonts w:ascii="標楷體" w:eastAsia="標楷體" w:hAnsi="標楷體"/>
          <w:sz w:val="28"/>
          <w:szCs w:val="28"/>
        </w:rPr>
        <w:t>1,240</w:t>
      </w:r>
      <w:r w:rsidRPr="00535128">
        <w:rPr>
          <w:rFonts w:ascii="標楷體" w:eastAsia="標楷體" w:hAnsi="標楷體" w:hint="eastAsia"/>
          <w:sz w:val="28"/>
          <w:szCs w:val="28"/>
        </w:rPr>
        <w:t>人、女性</w:t>
      </w:r>
      <w:r w:rsidRPr="00535128">
        <w:rPr>
          <w:rFonts w:ascii="標楷體" w:eastAsia="標楷體" w:hAnsi="標楷體"/>
          <w:sz w:val="28"/>
          <w:szCs w:val="28"/>
        </w:rPr>
        <w:t>350</w:t>
      </w:r>
      <w:r w:rsidRPr="00535128">
        <w:rPr>
          <w:rFonts w:ascii="標楷體" w:eastAsia="標楷體" w:hAnsi="標楷體" w:hint="eastAsia"/>
          <w:sz w:val="28"/>
          <w:szCs w:val="28"/>
        </w:rPr>
        <w:t>人通報，女性人數維持達全部通報民眾人數的</w:t>
      </w:r>
      <w:r w:rsidRPr="00535128">
        <w:rPr>
          <w:rFonts w:ascii="標楷體" w:eastAsia="標楷體" w:hAnsi="標楷體"/>
          <w:sz w:val="28"/>
          <w:szCs w:val="28"/>
        </w:rPr>
        <w:t>2</w:t>
      </w:r>
      <w:r w:rsidRPr="00535128">
        <w:rPr>
          <w:rFonts w:ascii="標楷體" w:eastAsia="標楷體" w:hAnsi="標楷體" w:hint="eastAsia"/>
          <w:sz w:val="28"/>
          <w:szCs w:val="28"/>
        </w:rPr>
        <w:t>成以上水準，本會將持續進行全民督工通報系統相關推廣宣導。</w:t>
      </w:r>
    </w:p>
    <w:p w:rsidR="00514373" w:rsidRPr="00535128" w:rsidRDefault="00514373" w:rsidP="007A0952">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3</w:t>
      </w:r>
      <w:r w:rsidRPr="00535128">
        <w:rPr>
          <w:rFonts w:ascii="標楷體" w:eastAsia="標楷體" w:hAnsi="標楷體" w:hint="eastAsia"/>
          <w:sz w:val="28"/>
          <w:szCs w:val="28"/>
        </w:rPr>
        <w:t>、檢討及策進作為：已達成年度目標，無相關檢討策進作為。</w:t>
      </w:r>
    </w:p>
    <w:p w:rsidR="00514373" w:rsidRPr="00535128" w:rsidRDefault="00514373" w:rsidP="007A0952">
      <w:pPr>
        <w:pStyle w:val="ListParagraph"/>
        <w:widowControl/>
        <w:snapToGrid w:val="0"/>
        <w:spacing w:line="500" w:lineRule="atLeast"/>
        <w:ind w:leftChars="-1" w:left="-2" w:firstLineChars="121" w:firstLine="339"/>
        <w:rPr>
          <w:rFonts w:ascii="標楷體" w:eastAsia="標楷體" w:hAnsi="標楷體"/>
          <w:b/>
          <w:sz w:val="28"/>
          <w:szCs w:val="28"/>
        </w:rPr>
      </w:pPr>
      <w:r w:rsidRPr="00535128">
        <w:rPr>
          <w:rFonts w:ascii="標楷體" w:eastAsia="標楷體" w:hAnsi="標楷體" w:hint="eastAsia"/>
          <w:b/>
          <w:sz w:val="28"/>
          <w:szCs w:val="28"/>
        </w:rPr>
        <w:t>（三）關鍵績效指標</w:t>
      </w:r>
      <w:r w:rsidRPr="00535128">
        <w:rPr>
          <w:rFonts w:ascii="標楷體" w:eastAsia="標楷體" w:hAnsi="標楷體"/>
          <w:b/>
          <w:sz w:val="28"/>
          <w:szCs w:val="28"/>
        </w:rPr>
        <w:t>3</w:t>
      </w:r>
      <w:r w:rsidRPr="00535128">
        <w:rPr>
          <w:rFonts w:ascii="標楷體" w:eastAsia="標楷體" w:hAnsi="標楷體" w:hint="eastAsia"/>
          <w:b/>
          <w:sz w:val="28"/>
          <w:szCs w:val="28"/>
        </w:rPr>
        <w:t>：性別統計指標項目新增數</w:t>
      </w:r>
    </w:p>
    <w:p w:rsidR="00514373" w:rsidRPr="00535128" w:rsidRDefault="00514373" w:rsidP="007A0952">
      <w:pPr>
        <w:widowControl/>
        <w:snapToGrid w:val="0"/>
        <w:spacing w:line="500" w:lineRule="atLeast"/>
        <w:ind w:leftChars="321" w:left="1529" w:hangingChars="271" w:hanging="759"/>
        <w:rPr>
          <w:rFonts w:ascii="標楷體" w:eastAsia="標楷體" w:hAnsi="標楷體"/>
          <w:sz w:val="28"/>
          <w:szCs w:val="28"/>
        </w:rPr>
      </w:pPr>
      <w:r w:rsidRPr="00535128">
        <w:rPr>
          <w:rFonts w:ascii="標楷體" w:eastAsia="標楷體" w:hAnsi="標楷體"/>
          <w:sz w:val="28"/>
          <w:szCs w:val="28"/>
        </w:rPr>
        <w:t>1</w:t>
      </w:r>
      <w:r w:rsidRPr="00535128">
        <w:rPr>
          <w:rFonts w:ascii="標楷體" w:eastAsia="標楷體" w:hAnsi="標楷體" w:hint="eastAsia"/>
          <w:sz w:val="28"/>
          <w:szCs w:val="28"/>
        </w:rPr>
        <w:t>、目標達成情形</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1584"/>
        <w:gridCol w:w="1585"/>
        <w:gridCol w:w="1585"/>
        <w:gridCol w:w="1585"/>
      </w:tblGrid>
      <w:tr w:rsidR="00514373" w:rsidRPr="00535128" w:rsidTr="00622A64">
        <w:tc>
          <w:tcPr>
            <w:tcW w:w="1985" w:type="dxa"/>
            <w:tcBorders>
              <w:tl2br w:val="single" w:sz="4" w:space="0" w:color="auto"/>
            </w:tcBorders>
            <w:vAlign w:val="bottom"/>
          </w:tcPr>
          <w:p w:rsidR="00514373" w:rsidRPr="00535128" w:rsidRDefault="00514373" w:rsidP="007A0952">
            <w:pPr>
              <w:pStyle w:val="ListParagraph"/>
              <w:widowControl/>
              <w:snapToGrid w:val="0"/>
              <w:spacing w:line="500" w:lineRule="atLeast"/>
              <w:ind w:leftChars="0" w:left="0"/>
              <w:jc w:val="right"/>
              <w:rPr>
                <w:rFonts w:ascii="標楷體" w:eastAsia="標楷體" w:hAnsi="標楷體"/>
                <w:sz w:val="28"/>
                <w:szCs w:val="28"/>
              </w:rPr>
            </w:pPr>
            <w:r w:rsidRPr="00535128">
              <w:rPr>
                <w:rFonts w:ascii="標楷體" w:eastAsia="標楷體" w:hAnsi="標楷體" w:hint="eastAsia"/>
                <w:sz w:val="28"/>
                <w:szCs w:val="28"/>
              </w:rPr>
              <w:t>年度</w:t>
            </w:r>
          </w:p>
          <w:p w:rsidR="00514373" w:rsidRPr="00535128" w:rsidRDefault="00514373" w:rsidP="007A0952">
            <w:pPr>
              <w:pStyle w:val="ListParagraph"/>
              <w:widowControl/>
              <w:snapToGrid w:val="0"/>
              <w:spacing w:line="500" w:lineRule="atLeast"/>
              <w:ind w:leftChars="0" w:left="0"/>
              <w:rPr>
                <w:rFonts w:ascii="標楷體" w:eastAsia="標楷體" w:hAnsi="標楷體"/>
                <w:sz w:val="28"/>
                <w:szCs w:val="28"/>
              </w:rPr>
            </w:pPr>
            <w:r w:rsidRPr="00535128">
              <w:rPr>
                <w:rFonts w:ascii="標楷體" w:eastAsia="標楷體" w:hAnsi="標楷體" w:hint="eastAsia"/>
                <w:sz w:val="28"/>
                <w:szCs w:val="28"/>
              </w:rPr>
              <w:t>項目</w:t>
            </w:r>
          </w:p>
        </w:tc>
        <w:tc>
          <w:tcPr>
            <w:tcW w:w="1584"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103</w:t>
            </w:r>
            <w:r w:rsidRPr="00535128">
              <w:rPr>
                <w:rFonts w:ascii="標楷體" w:eastAsia="標楷體" w:hAnsi="標楷體" w:hint="eastAsia"/>
                <w:sz w:val="28"/>
                <w:szCs w:val="28"/>
              </w:rPr>
              <w:t>年</w:t>
            </w:r>
          </w:p>
        </w:tc>
        <w:tc>
          <w:tcPr>
            <w:tcW w:w="158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104</w:t>
            </w:r>
            <w:r w:rsidRPr="00535128">
              <w:rPr>
                <w:rFonts w:ascii="標楷體" w:eastAsia="標楷體" w:hAnsi="標楷體" w:hint="eastAsia"/>
                <w:sz w:val="28"/>
                <w:szCs w:val="28"/>
              </w:rPr>
              <w:t>年</w:t>
            </w:r>
          </w:p>
        </w:tc>
        <w:tc>
          <w:tcPr>
            <w:tcW w:w="158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105</w:t>
            </w:r>
            <w:r w:rsidRPr="00535128">
              <w:rPr>
                <w:rFonts w:ascii="標楷體" w:eastAsia="標楷體" w:hAnsi="標楷體" w:hint="eastAsia"/>
                <w:sz w:val="28"/>
                <w:szCs w:val="28"/>
              </w:rPr>
              <w:t>年</w:t>
            </w:r>
          </w:p>
        </w:tc>
        <w:tc>
          <w:tcPr>
            <w:tcW w:w="158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106</w:t>
            </w:r>
            <w:r w:rsidRPr="00535128">
              <w:rPr>
                <w:rFonts w:ascii="標楷體" w:eastAsia="標楷體" w:hAnsi="標楷體" w:hint="eastAsia"/>
                <w:sz w:val="28"/>
                <w:szCs w:val="28"/>
              </w:rPr>
              <w:t>年</w:t>
            </w:r>
          </w:p>
        </w:tc>
      </w:tr>
      <w:tr w:rsidR="00514373" w:rsidRPr="00535128" w:rsidTr="00622A64">
        <w:trPr>
          <w:trHeight w:val="986"/>
        </w:trPr>
        <w:tc>
          <w:tcPr>
            <w:tcW w:w="1985" w:type="dxa"/>
            <w:vAlign w:val="center"/>
          </w:tcPr>
          <w:p w:rsidR="00514373" w:rsidRPr="00535128" w:rsidRDefault="00514373" w:rsidP="00D42F87">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衡量標準</w:t>
            </w:r>
          </w:p>
        </w:tc>
        <w:tc>
          <w:tcPr>
            <w:tcW w:w="6339" w:type="dxa"/>
            <w:gridSpan w:val="4"/>
            <w:vAlign w:val="center"/>
          </w:tcPr>
          <w:p w:rsidR="00514373" w:rsidRPr="00535128" w:rsidRDefault="00514373" w:rsidP="00D42F87">
            <w:pPr>
              <w:pStyle w:val="ListParagraph"/>
              <w:widowControl/>
              <w:snapToGrid w:val="0"/>
              <w:ind w:leftChars="0" w:left="0"/>
              <w:jc w:val="both"/>
              <w:rPr>
                <w:rFonts w:ascii="標楷體" w:eastAsia="標楷體" w:hAnsi="標楷體"/>
                <w:b/>
                <w:sz w:val="28"/>
                <w:szCs w:val="28"/>
              </w:rPr>
            </w:pPr>
            <w:r w:rsidRPr="00535128">
              <w:rPr>
                <w:rFonts w:ascii="標楷體" w:eastAsia="標楷體" w:hAnsi="標楷體" w:hint="eastAsia"/>
                <w:b/>
                <w:sz w:val="28"/>
                <w:szCs w:val="28"/>
              </w:rPr>
              <w:t>本機關及所屬機關當年度新增並公布於機關網頁之性別統計指標項目數</w:t>
            </w:r>
          </w:p>
        </w:tc>
      </w:tr>
      <w:tr w:rsidR="00514373" w:rsidRPr="00535128" w:rsidTr="00622A64">
        <w:trPr>
          <w:trHeight w:val="756"/>
        </w:trPr>
        <w:tc>
          <w:tcPr>
            <w:tcW w:w="1985" w:type="dxa"/>
            <w:vAlign w:val="center"/>
          </w:tcPr>
          <w:p w:rsidR="00514373" w:rsidRPr="00535128" w:rsidRDefault="00514373" w:rsidP="00D42F87">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目標值</w:t>
            </w:r>
            <w:r w:rsidRPr="00535128">
              <w:rPr>
                <w:rFonts w:ascii="標楷體" w:eastAsia="標楷體" w:hAnsi="標楷體"/>
                <w:sz w:val="28"/>
                <w:szCs w:val="28"/>
              </w:rPr>
              <w:t>(X)</w:t>
            </w:r>
          </w:p>
        </w:tc>
        <w:tc>
          <w:tcPr>
            <w:tcW w:w="1584" w:type="dxa"/>
            <w:vAlign w:val="center"/>
          </w:tcPr>
          <w:p w:rsidR="00514373" w:rsidRPr="00535128" w:rsidRDefault="00514373" w:rsidP="00D42F87">
            <w:pPr>
              <w:pStyle w:val="ListParagraph"/>
              <w:widowControl/>
              <w:snapToGrid w:val="0"/>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4</w:t>
            </w:r>
          </w:p>
        </w:tc>
        <w:tc>
          <w:tcPr>
            <w:tcW w:w="1585" w:type="dxa"/>
            <w:vAlign w:val="center"/>
          </w:tcPr>
          <w:p w:rsidR="00514373" w:rsidRPr="00535128" w:rsidRDefault="00514373" w:rsidP="00D42F87">
            <w:pPr>
              <w:pStyle w:val="ListParagraph"/>
              <w:widowControl/>
              <w:snapToGrid w:val="0"/>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1</w:t>
            </w:r>
          </w:p>
        </w:tc>
        <w:tc>
          <w:tcPr>
            <w:tcW w:w="1585" w:type="dxa"/>
            <w:vAlign w:val="center"/>
          </w:tcPr>
          <w:p w:rsidR="00514373" w:rsidRPr="00535128" w:rsidRDefault="00514373" w:rsidP="00D42F87">
            <w:pPr>
              <w:pStyle w:val="ListParagraph"/>
              <w:widowControl/>
              <w:snapToGrid w:val="0"/>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1</w:t>
            </w:r>
          </w:p>
        </w:tc>
        <w:tc>
          <w:tcPr>
            <w:tcW w:w="1585" w:type="dxa"/>
            <w:vAlign w:val="center"/>
          </w:tcPr>
          <w:p w:rsidR="00514373" w:rsidRPr="00535128" w:rsidRDefault="00514373" w:rsidP="00D42F87">
            <w:pPr>
              <w:pStyle w:val="ListParagraph"/>
              <w:widowControl/>
              <w:snapToGrid w:val="0"/>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1</w:t>
            </w:r>
          </w:p>
        </w:tc>
      </w:tr>
      <w:tr w:rsidR="00514373" w:rsidRPr="00535128" w:rsidTr="00622A64">
        <w:trPr>
          <w:trHeight w:val="756"/>
        </w:trPr>
        <w:tc>
          <w:tcPr>
            <w:tcW w:w="1985" w:type="dxa"/>
            <w:vAlign w:val="center"/>
          </w:tcPr>
          <w:p w:rsidR="00514373" w:rsidRPr="00535128" w:rsidRDefault="00514373" w:rsidP="00D42F87">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實際值</w:t>
            </w:r>
            <w:r w:rsidRPr="00535128">
              <w:rPr>
                <w:rFonts w:ascii="標楷體" w:eastAsia="標楷體" w:hAnsi="標楷體"/>
                <w:sz w:val="28"/>
                <w:szCs w:val="28"/>
              </w:rPr>
              <w:t>(Y)</w:t>
            </w:r>
          </w:p>
        </w:tc>
        <w:tc>
          <w:tcPr>
            <w:tcW w:w="1584" w:type="dxa"/>
            <w:vAlign w:val="center"/>
          </w:tcPr>
          <w:p w:rsidR="00514373" w:rsidRPr="00622A64" w:rsidRDefault="00514373" w:rsidP="00D42F87">
            <w:pPr>
              <w:pStyle w:val="ListParagraph"/>
              <w:widowControl/>
              <w:snapToGrid w:val="0"/>
              <w:ind w:leftChars="0" w:left="0"/>
              <w:jc w:val="center"/>
              <w:rPr>
                <w:rFonts w:ascii="標楷體" w:eastAsia="標楷體" w:hAnsi="標楷體"/>
                <w:sz w:val="28"/>
                <w:szCs w:val="28"/>
              </w:rPr>
            </w:pPr>
            <w:r w:rsidRPr="00622A64">
              <w:rPr>
                <w:rFonts w:ascii="標楷體" w:eastAsia="標楷體" w:hAnsi="標楷體"/>
                <w:sz w:val="28"/>
                <w:szCs w:val="28"/>
              </w:rPr>
              <w:t>4</w:t>
            </w:r>
          </w:p>
        </w:tc>
        <w:tc>
          <w:tcPr>
            <w:tcW w:w="1585" w:type="dxa"/>
            <w:vAlign w:val="center"/>
          </w:tcPr>
          <w:p w:rsidR="00514373" w:rsidRPr="00535128" w:rsidRDefault="00514373" w:rsidP="00D42F87">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D42F87">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D42F87">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r>
      <w:tr w:rsidR="00514373" w:rsidRPr="00535128" w:rsidTr="00622A64">
        <w:trPr>
          <w:trHeight w:val="756"/>
        </w:trPr>
        <w:tc>
          <w:tcPr>
            <w:tcW w:w="1985" w:type="dxa"/>
            <w:vAlign w:val="center"/>
          </w:tcPr>
          <w:p w:rsidR="00514373" w:rsidRPr="00535128" w:rsidRDefault="00514373" w:rsidP="00D42F87">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達成度</w:t>
            </w:r>
            <w:r w:rsidRPr="00535128">
              <w:rPr>
                <w:rFonts w:ascii="標楷體" w:eastAsia="標楷體" w:hAnsi="標楷體"/>
                <w:sz w:val="28"/>
                <w:szCs w:val="28"/>
              </w:rPr>
              <w:t>(Y/X)</w:t>
            </w:r>
          </w:p>
        </w:tc>
        <w:tc>
          <w:tcPr>
            <w:tcW w:w="1584" w:type="dxa"/>
            <w:vAlign w:val="center"/>
          </w:tcPr>
          <w:p w:rsidR="00514373" w:rsidRPr="00535128" w:rsidRDefault="00514373" w:rsidP="00D42F87">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100</w:t>
            </w:r>
          </w:p>
        </w:tc>
        <w:tc>
          <w:tcPr>
            <w:tcW w:w="1585" w:type="dxa"/>
            <w:vAlign w:val="center"/>
          </w:tcPr>
          <w:p w:rsidR="00514373" w:rsidRPr="00535128" w:rsidRDefault="00514373" w:rsidP="00D42F87">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D42F87">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D42F87">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r>
    </w:tbl>
    <w:p w:rsidR="00514373" w:rsidRPr="00535128" w:rsidRDefault="00514373" w:rsidP="007A0952">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2</w:t>
      </w:r>
      <w:r w:rsidRPr="00535128">
        <w:rPr>
          <w:rFonts w:ascii="標楷體" w:eastAsia="標楷體" w:hAnsi="標楷體" w:hint="eastAsia"/>
          <w:sz w:val="28"/>
          <w:szCs w:val="28"/>
        </w:rPr>
        <w:t>、辦理情形說明：</w:t>
      </w:r>
      <w:r w:rsidRPr="00535128">
        <w:rPr>
          <w:rFonts w:ascii="標楷體" w:eastAsia="標楷體" w:hAnsi="標楷體"/>
          <w:sz w:val="28"/>
          <w:szCs w:val="28"/>
        </w:rPr>
        <w:t>103</w:t>
      </w:r>
      <w:r w:rsidRPr="00535128">
        <w:rPr>
          <w:rFonts w:ascii="標楷體" w:eastAsia="標楷體" w:hAnsi="標楷體" w:hint="eastAsia"/>
          <w:sz w:val="28"/>
          <w:szCs w:val="28"/>
        </w:rPr>
        <w:t>年度本會新增女性企業取得政府採購案件數、本會法規委員會</w:t>
      </w:r>
      <w:r w:rsidRPr="00535128">
        <w:rPr>
          <w:rFonts w:ascii="標楷體" w:eastAsia="標楷體" w:hAnsi="標楷體"/>
          <w:sz w:val="28"/>
          <w:szCs w:val="28"/>
        </w:rPr>
        <w:t>/</w:t>
      </w:r>
      <w:r w:rsidRPr="00535128">
        <w:rPr>
          <w:rFonts w:ascii="標楷體" w:eastAsia="標楷體" w:hAnsi="標楷體" w:hint="eastAsia"/>
          <w:sz w:val="28"/>
          <w:szCs w:val="28"/>
        </w:rPr>
        <w:t>訴願審議委員會委員性別比例、專家學者建議名單資料庫審議小組性別比例及</w:t>
      </w:r>
      <w:r w:rsidRPr="00535128">
        <w:rPr>
          <w:rFonts w:ascii="標楷體" w:eastAsia="標楷體" w:hAnsi="標楷體" w:cs="新細明體" w:hint="eastAsia"/>
          <w:kern w:val="0"/>
          <w:sz w:val="28"/>
          <w:szCs w:val="28"/>
        </w:rPr>
        <w:t>參與公共工程基本設計審議業務人員性別比例等</w:t>
      </w:r>
      <w:r w:rsidRPr="00535128">
        <w:rPr>
          <w:rFonts w:ascii="標楷體" w:eastAsia="標楷體" w:hAnsi="標楷體" w:cs="新細明體"/>
          <w:kern w:val="0"/>
          <w:sz w:val="28"/>
          <w:szCs w:val="28"/>
        </w:rPr>
        <w:t>4</w:t>
      </w:r>
      <w:r w:rsidRPr="00535128">
        <w:rPr>
          <w:rFonts w:ascii="標楷體" w:eastAsia="標楷體" w:hAnsi="標楷體" w:cs="新細明體" w:hint="eastAsia"/>
          <w:kern w:val="0"/>
          <w:sz w:val="28"/>
          <w:szCs w:val="28"/>
        </w:rPr>
        <w:t>項</w:t>
      </w:r>
      <w:r w:rsidRPr="00535128">
        <w:rPr>
          <w:rFonts w:ascii="標楷體" w:eastAsia="標楷體" w:hAnsi="標楷體" w:hint="eastAsia"/>
          <w:sz w:val="28"/>
          <w:szCs w:val="28"/>
        </w:rPr>
        <w:t>性別統計指標項目，並公布於本會全球資訊網</w:t>
      </w:r>
      <w:r w:rsidRPr="00535128">
        <w:rPr>
          <w:rFonts w:ascii="標楷體" w:eastAsia="標楷體" w:hAnsi="標楷體"/>
          <w:sz w:val="28"/>
          <w:szCs w:val="28"/>
        </w:rPr>
        <w:t>-</w:t>
      </w:r>
      <w:r w:rsidRPr="00535128">
        <w:rPr>
          <w:rFonts w:ascii="標楷體" w:eastAsia="標楷體" w:hAnsi="標楷體" w:hint="eastAsia"/>
          <w:sz w:val="28"/>
          <w:szCs w:val="28"/>
        </w:rPr>
        <w:t>性別統計專區；另原已公布之</w:t>
      </w:r>
      <w:r w:rsidRPr="00535128">
        <w:rPr>
          <w:rFonts w:ascii="標楷體" w:eastAsia="標楷體" w:hAnsi="標楷體"/>
          <w:sz w:val="28"/>
          <w:szCs w:val="28"/>
        </w:rPr>
        <w:t>24</w:t>
      </w:r>
      <w:r w:rsidRPr="00535128">
        <w:rPr>
          <w:rFonts w:ascii="標楷體" w:eastAsia="標楷體" w:hAnsi="標楷體" w:hint="eastAsia"/>
          <w:sz w:val="28"/>
          <w:szCs w:val="28"/>
        </w:rPr>
        <w:t>項性別統計指標項目持續檢視更新至</w:t>
      </w:r>
      <w:r w:rsidRPr="00535128">
        <w:rPr>
          <w:rFonts w:ascii="標楷體" w:eastAsia="標楷體" w:hAnsi="標楷體"/>
          <w:sz w:val="28"/>
          <w:szCs w:val="28"/>
        </w:rPr>
        <w:t>103</w:t>
      </w:r>
      <w:r w:rsidRPr="00535128">
        <w:rPr>
          <w:rFonts w:ascii="標楷體" w:eastAsia="標楷體" w:hAnsi="標楷體" w:hint="eastAsia"/>
          <w:sz w:val="28"/>
          <w:szCs w:val="28"/>
        </w:rPr>
        <w:t>年</w:t>
      </w:r>
      <w:r w:rsidRPr="00535128">
        <w:rPr>
          <w:rFonts w:ascii="標楷體" w:eastAsia="標楷體" w:hAnsi="標楷體"/>
          <w:sz w:val="28"/>
          <w:szCs w:val="28"/>
        </w:rPr>
        <w:t>8</w:t>
      </w:r>
      <w:r w:rsidRPr="00535128">
        <w:rPr>
          <w:rFonts w:ascii="標楷體" w:eastAsia="標楷體" w:hAnsi="標楷體" w:hint="eastAsia"/>
          <w:sz w:val="28"/>
          <w:szCs w:val="28"/>
        </w:rPr>
        <w:t>月底之資料，並公布於本會全球資訊網</w:t>
      </w:r>
      <w:r w:rsidRPr="00535128">
        <w:rPr>
          <w:rFonts w:ascii="標楷體" w:eastAsia="標楷體" w:hAnsi="標楷體"/>
          <w:sz w:val="28"/>
          <w:szCs w:val="28"/>
        </w:rPr>
        <w:t>-</w:t>
      </w:r>
      <w:r w:rsidRPr="00535128">
        <w:rPr>
          <w:rFonts w:ascii="標楷體" w:eastAsia="標楷體" w:hAnsi="標楷體" w:hint="eastAsia"/>
          <w:sz w:val="28"/>
          <w:szCs w:val="28"/>
        </w:rPr>
        <w:t>性別統計專區。</w:t>
      </w:r>
    </w:p>
    <w:p w:rsidR="00514373" w:rsidRPr="00535128" w:rsidRDefault="00514373" w:rsidP="007A0952">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3</w:t>
      </w:r>
      <w:r w:rsidRPr="00535128">
        <w:rPr>
          <w:rFonts w:ascii="標楷體" w:eastAsia="標楷體" w:hAnsi="標楷體" w:hint="eastAsia"/>
          <w:sz w:val="28"/>
          <w:szCs w:val="28"/>
        </w:rPr>
        <w:t>、檢討及策進作為：本會將持續檢視及更新已公布之性別統計指標項目，並擴大可納入新增性別統計指標項目之檢視範圍，以期達成</w:t>
      </w:r>
      <w:r w:rsidRPr="00535128">
        <w:rPr>
          <w:rFonts w:ascii="標楷體" w:eastAsia="標楷體" w:hAnsi="標楷體"/>
          <w:sz w:val="28"/>
          <w:szCs w:val="28"/>
        </w:rPr>
        <w:t>104</w:t>
      </w:r>
      <w:r w:rsidRPr="00535128">
        <w:rPr>
          <w:rFonts w:ascii="標楷體" w:eastAsia="標楷體" w:hAnsi="標楷體" w:hint="eastAsia"/>
          <w:sz w:val="28"/>
          <w:szCs w:val="28"/>
        </w:rPr>
        <w:t>年度性別統計指標項目新增數之年度目標值。</w:t>
      </w:r>
    </w:p>
    <w:p w:rsidR="00514373" w:rsidRPr="00535128" w:rsidRDefault="00514373" w:rsidP="007A0952">
      <w:pPr>
        <w:pStyle w:val="ListParagraph"/>
        <w:widowControl/>
        <w:snapToGrid w:val="0"/>
        <w:spacing w:line="500" w:lineRule="atLeast"/>
        <w:ind w:leftChars="140" w:left="3262" w:hangingChars="1044" w:hanging="2926"/>
        <w:rPr>
          <w:rFonts w:ascii="標楷體" w:eastAsia="標楷體" w:hAnsi="標楷體"/>
          <w:b/>
          <w:sz w:val="28"/>
          <w:szCs w:val="28"/>
        </w:rPr>
      </w:pPr>
      <w:r w:rsidRPr="00535128">
        <w:rPr>
          <w:rFonts w:ascii="標楷體" w:eastAsia="標楷體" w:hAnsi="標楷體" w:hint="eastAsia"/>
          <w:b/>
          <w:sz w:val="28"/>
          <w:szCs w:val="28"/>
        </w:rPr>
        <w:t>（四）關鍵績效指標</w:t>
      </w:r>
      <w:r w:rsidRPr="00535128">
        <w:rPr>
          <w:rFonts w:ascii="標楷體" w:eastAsia="標楷體" w:hAnsi="標楷體"/>
          <w:b/>
          <w:sz w:val="28"/>
          <w:szCs w:val="28"/>
        </w:rPr>
        <w:t>4</w:t>
      </w:r>
      <w:r w:rsidRPr="00535128">
        <w:rPr>
          <w:rFonts w:ascii="標楷體" w:eastAsia="標楷體" w:hAnsi="標楷體" w:hint="eastAsia"/>
          <w:b/>
          <w:sz w:val="28"/>
          <w:szCs w:val="28"/>
        </w:rPr>
        <w:t>：性別影響評估計畫預算比重增加數</w:t>
      </w:r>
    </w:p>
    <w:p w:rsidR="00514373" w:rsidRPr="00535128" w:rsidRDefault="00514373" w:rsidP="007A0952">
      <w:pPr>
        <w:widowControl/>
        <w:snapToGrid w:val="0"/>
        <w:spacing w:line="500" w:lineRule="atLeast"/>
        <w:ind w:leftChars="321" w:left="1529" w:hangingChars="271" w:hanging="759"/>
        <w:rPr>
          <w:rFonts w:ascii="標楷體" w:eastAsia="標楷體" w:hAnsi="標楷體"/>
          <w:sz w:val="28"/>
          <w:szCs w:val="28"/>
        </w:rPr>
      </w:pPr>
      <w:r w:rsidRPr="00535128">
        <w:rPr>
          <w:rFonts w:ascii="標楷體" w:eastAsia="標楷體" w:hAnsi="標楷體"/>
          <w:sz w:val="28"/>
          <w:szCs w:val="28"/>
        </w:rPr>
        <w:t>1</w:t>
      </w:r>
      <w:r w:rsidRPr="00535128">
        <w:rPr>
          <w:rFonts w:ascii="標楷體" w:eastAsia="標楷體" w:hAnsi="標楷體" w:hint="eastAsia"/>
          <w:sz w:val="28"/>
          <w:szCs w:val="28"/>
        </w:rPr>
        <w:t>、目標達成情形</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1584"/>
        <w:gridCol w:w="1585"/>
        <w:gridCol w:w="1585"/>
        <w:gridCol w:w="1585"/>
      </w:tblGrid>
      <w:tr w:rsidR="00514373" w:rsidRPr="00535128" w:rsidTr="00622A64">
        <w:trPr>
          <w:tblHeader/>
        </w:trPr>
        <w:tc>
          <w:tcPr>
            <w:tcW w:w="1985" w:type="dxa"/>
            <w:tcBorders>
              <w:tl2br w:val="single" w:sz="4" w:space="0" w:color="auto"/>
            </w:tcBorders>
            <w:vAlign w:val="bottom"/>
          </w:tcPr>
          <w:p w:rsidR="00514373" w:rsidRPr="00535128" w:rsidRDefault="00514373" w:rsidP="007A0952">
            <w:pPr>
              <w:pStyle w:val="ListParagraph"/>
              <w:widowControl/>
              <w:snapToGrid w:val="0"/>
              <w:spacing w:line="500" w:lineRule="atLeast"/>
              <w:ind w:leftChars="0" w:left="0"/>
              <w:jc w:val="right"/>
              <w:rPr>
                <w:rFonts w:ascii="標楷體" w:eastAsia="標楷體" w:hAnsi="標楷體"/>
                <w:sz w:val="28"/>
                <w:szCs w:val="28"/>
              </w:rPr>
            </w:pPr>
            <w:r w:rsidRPr="00535128">
              <w:rPr>
                <w:rFonts w:ascii="標楷體" w:eastAsia="標楷體" w:hAnsi="標楷體" w:hint="eastAsia"/>
                <w:sz w:val="28"/>
                <w:szCs w:val="28"/>
              </w:rPr>
              <w:t>年度</w:t>
            </w:r>
          </w:p>
          <w:p w:rsidR="00514373" w:rsidRPr="00535128" w:rsidRDefault="00514373" w:rsidP="007A0952">
            <w:pPr>
              <w:pStyle w:val="ListParagraph"/>
              <w:widowControl/>
              <w:snapToGrid w:val="0"/>
              <w:spacing w:line="500" w:lineRule="atLeast"/>
              <w:ind w:leftChars="0" w:left="0"/>
              <w:rPr>
                <w:rFonts w:ascii="標楷體" w:eastAsia="標楷體" w:hAnsi="標楷體"/>
                <w:sz w:val="28"/>
                <w:szCs w:val="28"/>
              </w:rPr>
            </w:pPr>
            <w:r w:rsidRPr="00535128">
              <w:rPr>
                <w:rFonts w:ascii="標楷體" w:eastAsia="標楷體" w:hAnsi="標楷體" w:hint="eastAsia"/>
                <w:sz w:val="28"/>
                <w:szCs w:val="28"/>
              </w:rPr>
              <w:t>項目</w:t>
            </w:r>
          </w:p>
        </w:tc>
        <w:tc>
          <w:tcPr>
            <w:tcW w:w="1584"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103</w:t>
            </w:r>
            <w:r w:rsidRPr="00535128">
              <w:rPr>
                <w:rFonts w:ascii="標楷體" w:eastAsia="標楷體" w:hAnsi="標楷體" w:hint="eastAsia"/>
                <w:sz w:val="28"/>
                <w:szCs w:val="28"/>
              </w:rPr>
              <w:t>年</w:t>
            </w:r>
          </w:p>
        </w:tc>
        <w:tc>
          <w:tcPr>
            <w:tcW w:w="158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104</w:t>
            </w:r>
            <w:r w:rsidRPr="00535128">
              <w:rPr>
                <w:rFonts w:ascii="標楷體" w:eastAsia="標楷體" w:hAnsi="標楷體" w:hint="eastAsia"/>
                <w:sz w:val="28"/>
                <w:szCs w:val="28"/>
              </w:rPr>
              <w:t>年</w:t>
            </w:r>
          </w:p>
        </w:tc>
        <w:tc>
          <w:tcPr>
            <w:tcW w:w="158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105</w:t>
            </w:r>
            <w:r w:rsidRPr="00535128">
              <w:rPr>
                <w:rFonts w:ascii="標楷體" w:eastAsia="標楷體" w:hAnsi="標楷體" w:hint="eastAsia"/>
                <w:sz w:val="28"/>
                <w:szCs w:val="28"/>
              </w:rPr>
              <w:t>年</w:t>
            </w:r>
          </w:p>
        </w:tc>
        <w:tc>
          <w:tcPr>
            <w:tcW w:w="1585" w:type="dxa"/>
            <w:vAlign w:val="center"/>
          </w:tcPr>
          <w:p w:rsidR="00514373" w:rsidRPr="00535128" w:rsidRDefault="00514373" w:rsidP="007A0952">
            <w:pPr>
              <w:pStyle w:val="ListParagraph"/>
              <w:widowControl/>
              <w:snapToGrid w:val="0"/>
              <w:spacing w:line="500" w:lineRule="atLeast"/>
              <w:ind w:leftChars="0" w:left="0"/>
              <w:jc w:val="center"/>
              <w:rPr>
                <w:rFonts w:ascii="標楷體" w:eastAsia="標楷體" w:hAnsi="標楷體"/>
                <w:sz w:val="28"/>
                <w:szCs w:val="28"/>
              </w:rPr>
            </w:pPr>
            <w:r w:rsidRPr="00535128">
              <w:rPr>
                <w:rFonts w:ascii="標楷體" w:eastAsia="標楷體" w:hAnsi="標楷體"/>
                <w:sz w:val="28"/>
                <w:szCs w:val="28"/>
              </w:rPr>
              <w:t>106</w:t>
            </w:r>
            <w:r w:rsidRPr="00535128">
              <w:rPr>
                <w:rFonts w:ascii="標楷體" w:eastAsia="標楷體" w:hAnsi="標楷體" w:hint="eastAsia"/>
                <w:sz w:val="28"/>
                <w:szCs w:val="28"/>
              </w:rPr>
              <w:t>年</w:t>
            </w:r>
          </w:p>
        </w:tc>
      </w:tr>
      <w:tr w:rsidR="00514373" w:rsidRPr="00535128" w:rsidTr="00622A64">
        <w:tc>
          <w:tcPr>
            <w:tcW w:w="1985" w:type="dxa"/>
            <w:vAlign w:val="center"/>
          </w:tcPr>
          <w:p w:rsidR="00514373" w:rsidRPr="00535128" w:rsidRDefault="00514373" w:rsidP="00D42F87">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衡量標準</w:t>
            </w:r>
          </w:p>
        </w:tc>
        <w:tc>
          <w:tcPr>
            <w:tcW w:w="6339" w:type="dxa"/>
            <w:gridSpan w:val="4"/>
            <w:vAlign w:val="center"/>
          </w:tcPr>
          <w:p w:rsidR="00514373" w:rsidRPr="00535128" w:rsidRDefault="00514373" w:rsidP="00D42F87">
            <w:pPr>
              <w:widowControl/>
              <w:snapToGrid w:val="0"/>
              <w:jc w:val="both"/>
              <w:rPr>
                <w:rFonts w:ascii="標楷體" w:eastAsia="標楷體" w:hAnsi="標楷體"/>
                <w:b/>
                <w:sz w:val="28"/>
                <w:szCs w:val="28"/>
              </w:rPr>
            </w:pPr>
            <w:r w:rsidRPr="00535128">
              <w:rPr>
                <w:rFonts w:ascii="標楷體" w:eastAsia="標楷體" w:hAnsi="標楷體" w:hint="eastAsia"/>
                <w:b/>
                <w:sz w:val="28"/>
                <w:szCs w:val="28"/>
              </w:rPr>
              <w:t>比重</w:t>
            </w:r>
            <w:r w:rsidRPr="00535128">
              <w:rPr>
                <w:rFonts w:ascii="標楷體" w:eastAsia="標楷體" w:hAnsi="標楷體"/>
                <w:b/>
                <w:sz w:val="28"/>
                <w:szCs w:val="28"/>
              </w:rPr>
              <w:t>=</w:t>
            </w:r>
            <w:r w:rsidRPr="00535128">
              <w:rPr>
                <w:rFonts w:ascii="標楷體" w:eastAsia="標楷體" w:hAnsi="標楷體" w:hint="eastAsia"/>
                <w:b/>
                <w:sz w:val="28"/>
                <w:szCs w:val="28"/>
              </w:rPr>
              <w:t>［性別影響評估計畫預算編列數</w:t>
            </w:r>
            <w:r w:rsidRPr="00535128">
              <w:rPr>
                <w:rFonts w:ascii="標楷體" w:eastAsia="標楷體" w:hAnsi="標楷體"/>
                <w:b/>
                <w:sz w:val="28"/>
                <w:szCs w:val="28"/>
              </w:rPr>
              <w:t xml:space="preserve"> / (</w:t>
            </w:r>
            <w:r w:rsidRPr="00535128">
              <w:rPr>
                <w:rFonts w:ascii="標楷體" w:eastAsia="標楷體" w:hAnsi="標楷體" w:hint="eastAsia"/>
                <w:b/>
                <w:sz w:val="28"/>
                <w:szCs w:val="28"/>
              </w:rPr>
              <w:t>機關預算數－人事費支出－依法律義務必須編列之支出</w:t>
            </w:r>
            <w:r w:rsidRPr="00535128">
              <w:rPr>
                <w:rFonts w:ascii="標楷體" w:eastAsia="標楷體" w:hAnsi="標楷體"/>
                <w:b/>
                <w:sz w:val="28"/>
                <w:szCs w:val="28"/>
              </w:rPr>
              <w:t>)</w:t>
            </w:r>
            <w:r w:rsidRPr="00535128">
              <w:rPr>
                <w:rFonts w:ascii="標楷體" w:eastAsia="標楷體" w:hAnsi="標楷體" w:hint="eastAsia"/>
                <w:b/>
                <w:sz w:val="28"/>
                <w:szCs w:val="28"/>
              </w:rPr>
              <w:t>］×</w:t>
            </w:r>
            <w:r w:rsidRPr="00535128">
              <w:rPr>
                <w:rFonts w:ascii="標楷體" w:eastAsia="標楷體" w:hAnsi="標楷體"/>
                <w:b/>
                <w:sz w:val="28"/>
                <w:szCs w:val="28"/>
              </w:rPr>
              <w:t>100%</w:t>
            </w:r>
          </w:p>
          <w:p w:rsidR="00514373" w:rsidRPr="00535128" w:rsidRDefault="00514373" w:rsidP="00D42F87">
            <w:pPr>
              <w:pStyle w:val="ListParagraph"/>
              <w:widowControl/>
              <w:snapToGrid w:val="0"/>
              <w:ind w:leftChars="0" w:left="0"/>
              <w:rPr>
                <w:rFonts w:ascii="標楷體" w:eastAsia="標楷體" w:hAnsi="標楷體"/>
                <w:b/>
                <w:sz w:val="28"/>
                <w:szCs w:val="28"/>
              </w:rPr>
            </w:pPr>
            <w:r w:rsidRPr="00535128">
              <w:rPr>
                <w:rFonts w:ascii="標楷體" w:eastAsia="標楷體" w:hAnsi="標楷體" w:hint="eastAsia"/>
                <w:b/>
                <w:sz w:val="28"/>
                <w:szCs w:val="28"/>
              </w:rPr>
              <w:t>增加數</w:t>
            </w:r>
            <w:r w:rsidRPr="00535128">
              <w:rPr>
                <w:rFonts w:ascii="標楷體" w:eastAsia="標楷體" w:hAnsi="標楷體"/>
                <w:b/>
                <w:sz w:val="28"/>
                <w:szCs w:val="28"/>
              </w:rPr>
              <w:t>=</w:t>
            </w:r>
            <w:r w:rsidRPr="00535128">
              <w:rPr>
                <w:rFonts w:ascii="標楷體" w:eastAsia="標楷體" w:hAnsi="標楷體" w:hint="eastAsia"/>
                <w:b/>
                <w:sz w:val="28"/>
                <w:szCs w:val="28"/>
              </w:rPr>
              <w:t>當年度比重－前年度比重</w:t>
            </w:r>
          </w:p>
        </w:tc>
      </w:tr>
      <w:tr w:rsidR="00514373" w:rsidRPr="00535128" w:rsidTr="00622A64">
        <w:trPr>
          <w:trHeight w:val="708"/>
        </w:trPr>
        <w:tc>
          <w:tcPr>
            <w:tcW w:w="1985" w:type="dxa"/>
            <w:vAlign w:val="center"/>
          </w:tcPr>
          <w:p w:rsidR="00514373" w:rsidRPr="00535128" w:rsidRDefault="00514373" w:rsidP="00D42F87">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目標值</w:t>
            </w:r>
            <w:r w:rsidRPr="00535128">
              <w:rPr>
                <w:rFonts w:ascii="標楷體" w:eastAsia="標楷體" w:hAnsi="標楷體"/>
                <w:sz w:val="28"/>
                <w:szCs w:val="28"/>
              </w:rPr>
              <w:t>(X)</w:t>
            </w:r>
          </w:p>
        </w:tc>
        <w:tc>
          <w:tcPr>
            <w:tcW w:w="1584" w:type="dxa"/>
            <w:vAlign w:val="center"/>
          </w:tcPr>
          <w:p w:rsidR="00514373" w:rsidRPr="00535128" w:rsidRDefault="00514373" w:rsidP="00D42F87">
            <w:pPr>
              <w:pStyle w:val="ListParagraph"/>
              <w:widowControl/>
              <w:snapToGrid w:val="0"/>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0%</w:t>
            </w:r>
          </w:p>
        </w:tc>
        <w:tc>
          <w:tcPr>
            <w:tcW w:w="1585" w:type="dxa"/>
            <w:vAlign w:val="center"/>
          </w:tcPr>
          <w:p w:rsidR="00514373" w:rsidRPr="00535128" w:rsidRDefault="00514373" w:rsidP="00D42F87">
            <w:pPr>
              <w:pStyle w:val="ListParagraph"/>
              <w:widowControl/>
              <w:snapToGrid w:val="0"/>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0%</w:t>
            </w:r>
          </w:p>
        </w:tc>
        <w:tc>
          <w:tcPr>
            <w:tcW w:w="1585" w:type="dxa"/>
            <w:vAlign w:val="center"/>
          </w:tcPr>
          <w:p w:rsidR="00514373" w:rsidRPr="00535128" w:rsidRDefault="00514373" w:rsidP="00D42F87">
            <w:pPr>
              <w:pStyle w:val="ListParagraph"/>
              <w:widowControl/>
              <w:snapToGrid w:val="0"/>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0%</w:t>
            </w:r>
          </w:p>
        </w:tc>
        <w:tc>
          <w:tcPr>
            <w:tcW w:w="1585" w:type="dxa"/>
            <w:vAlign w:val="center"/>
          </w:tcPr>
          <w:p w:rsidR="00514373" w:rsidRPr="00535128" w:rsidRDefault="00514373" w:rsidP="00D42F87">
            <w:pPr>
              <w:pStyle w:val="ListParagraph"/>
              <w:widowControl/>
              <w:snapToGrid w:val="0"/>
              <w:ind w:leftChars="-40" w:left="-96" w:rightChars="-33" w:right="-79" w:firstLineChars="10" w:firstLine="28"/>
              <w:jc w:val="center"/>
              <w:rPr>
                <w:rFonts w:ascii="標楷體" w:eastAsia="標楷體" w:hAnsi="標楷體"/>
                <w:sz w:val="28"/>
                <w:szCs w:val="28"/>
              </w:rPr>
            </w:pPr>
            <w:r w:rsidRPr="00535128">
              <w:rPr>
                <w:rFonts w:ascii="標楷體" w:eastAsia="標楷體" w:hAnsi="標楷體"/>
                <w:sz w:val="28"/>
                <w:szCs w:val="28"/>
              </w:rPr>
              <w:t>0%</w:t>
            </w:r>
          </w:p>
        </w:tc>
      </w:tr>
      <w:tr w:rsidR="00514373" w:rsidRPr="00535128" w:rsidTr="00622A64">
        <w:trPr>
          <w:trHeight w:val="708"/>
        </w:trPr>
        <w:tc>
          <w:tcPr>
            <w:tcW w:w="1985" w:type="dxa"/>
            <w:vAlign w:val="center"/>
          </w:tcPr>
          <w:p w:rsidR="00514373" w:rsidRPr="00535128" w:rsidRDefault="00514373" w:rsidP="00D42F87">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實際值</w:t>
            </w:r>
            <w:r w:rsidRPr="00535128">
              <w:rPr>
                <w:rFonts w:ascii="標楷體" w:eastAsia="標楷體" w:hAnsi="標楷體"/>
                <w:sz w:val="28"/>
                <w:szCs w:val="28"/>
              </w:rPr>
              <w:t>(Y)</w:t>
            </w:r>
          </w:p>
        </w:tc>
        <w:tc>
          <w:tcPr>
            <w:tcW w:w="1584" w:type="dxa"/>
            <w:vAlign w:val="center"/>
          </w:tcPr>
          <w:p w:rsidR="00514373" w:rsidRPr="00535128" w:rsidRDefault="00514373" w:rsidP="00D42F87">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0%</w:t>
            </w:r>
          </w:p>
        </w:tc>
        <w:tc>
          <w:tcPr>
            <w:tcW w:w="1585" w:type="dxa"/>
            <w:vAlign w:val="center"/>
          </w:tcPr>
          <w:p w:rsidR="00514373" w:rsidRPr="00535128" w:rsidRDefault="00514373" w:rsidP="00D42F87">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D42F87">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D42F87">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r>
      <w:tr w:rsidR="00514373" w:rsidRPr="00535128" w:rsidTr="00622A64">
        <w:trPr>
          <w:trHeight w:val="708"/>
        </w:trPr>
        <w:tc>
          <w:tcPr>
            <w:tcW w:w="1985" w:type="dxa"/>
            <w:vAlign w:val="center"/>
          </w:tcPr>
          <w:p w:rsidR="00514373" w:rsidRPr="00535128" w:rsidRDefault="00514373" w:rsidP="00D42F87">
            <w:pPr>
              <w:pStyle w:val="ListParagraph"/>
              <w:widowControl/>
              <w:snapToGrid w:val="0"/>
              <w:ind w:leftChars="0" w:left="0"/>
              <w:rPr>
                <w:rFonts w:ascii="標楷體" w:eastAsia="標楷體" w:hAnsi="標楷體"/>
                <w:sz w:val="28"/>
                <w:szCs w:val="28"/>
              </w:rPr>
            </w:pPr>
            <w:r w:rsidRPr="00535128">
              <w:rPr>
                <w:rFonts w:ascii="標楷體" w:eastAsia="標楷體" w:hAnsi="標楷體" w:hint="eastAsia"/>
                <w:sz w:val="28"/>
                <w:szCs w:val="28"/>
              </w:rPr>
              <w:t>達成度</w:t>
            </w:r>
            <w:r w:rsidRPr="00535128">
              <w:rPr>
                <w:rFonts w:ascii="標楷體" w:eastAsia="標楷體" w:hAnsi="標楷體"/>
                <w:sz w:val="28"/>
                <w:szCs w:val="28"/>
              </w:rPr>
              <w:t>(Y/X)</w:t>
            </w:r>
          </w:p>
        </w:tc>
        <w:tc>
          <w:tcPr>
            <w:tcW w:w="1584" w:type="dxa"/>
            <w:vAlign w:val="center"/>
          </w:tcPr>
          <w:p w:rsidR="00514373" w:rsidRPr="00535128" w:rsidRDefault="00514373" w:rsidP="00D42F87">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D42F87">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D42F87">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c>
          <w:tcPr>
            <w:tcW w:w="1585" w:type="dxa"/>
            <w:vAlign w:val="center"/>
          </w:tcPr>
          <w:p w:rsidR="00514373" w:rsidRPr="00535128" w:rsidRDefault="00514373" w:rsidP="00D42F87">
            <w:pPr>
              <w:pStyle w:val="ListParagraph"/>
              <w:widowControl/>
              <w:snapToGrid w:val="0"/>
              <w:ind w:leftChars="0" w:left="0"/>
              <w:jc w:val="center"/>
              <w:rPr>
                <w:rFonts w:ascii="標楷體" w:eastAsia="標楷體" w:hAnsi="標楷體"/>
                <w:b/>
                <w:sz w:val="28"/>
                <w:szCs w:val="28"/>
              </w:rPr>
            </w:pPr>
            <w:r w:rsidRPr="00535128">
              <w:rPr>
                <w:rFonts w:ascii="標楷體" w:eastAsia="標楷體" w:hAnsi="標楷體"/>
                <w:sz w:val="28"/>
                <w:szCs w:val="28"/>
              </w:rPr>
              <w:t>-</w:t>
            </w:r>
          </w:p>
        </w:tc>
      </w:tr>
    </w:tbl>
    <w:p w:rsidR="00514373" w:rsidRPr="00535128" w:rsidRDefault="00514373" w:rsidP="007A0952">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2</w:t>
      </w:r>
      <w:r w:rsidRPr="00535128">
        <w:rPr>
          <w:rFonts w:ascii="標楷體" w:eastAsia="標楷體" w:hAnsi="標楷體" w:hint="eastAsia"/>
          <w:sz w:val="28"/>
          <w:szCs w:val="28"/>
        </w:rPr>
        <w:t>、辦理情形說明：本會辦理之</w:t>
      </w:r>
      <w:r w:rsidRPr="00535128">
        <w:rPr>
          <w:rFonts w:ascii="標楷體" w:eastAsia="標楷體" w:hAnsi="標楷體" w:hint="eastAsia"/>
          <w:bCs/>
          <w:sz w:val="28"/>
          <w:szCs w:val="28"/>
        </w:rPr>
        <w:t>中長程個案計畫未涉及性別，且依「性別影響評估檢視表」之「玖、評估結果」所載意見，未涉及經費</w:t>
      </w:r>
      <w:r w:rsidRPr="00535128">
        <w:rPr>
          <w:rFonts w:ascii="標楷體" w:eastAsia="標楷體" w:hAnsi="標楷體" w:hint="eastAsia"/>
          <w:sz w:val="28"/>
          <w:szCs w:val="28"/>
        </w:rPr>
        <w:t>。</w:t>
      </w:r>
    </w:p>
    <w:p w:rsidR="00514373" w:rsidRPr="00535128" w:rsidRDefault="00514373" w:rsidP="007A0952">
      <w:pPr>
        <w:widowControl/>
        <w:snapToGrid w:val="0"/>
        <w:spacing w:line="500" w:lineRule="atLeast"/>
        <w:ind w:leftChars="320" w:left="1230" w:hangingChars="165" w:hanging="462"/>
        <w:rPr>
          <w:rFonts w:ascii="標楷體" w:eastAsia="標楷體" w:hAnsi="標楷體"/>
          <w:sz w:val="28"/>
          <w:szCs w:val="28"/>
        </w:rPr>
      </w:pPr>
      <w:r w:rsidRPr="00535128">
        <w:rPr>
          <w:rFonts w:ascii="標楷體" w:eastAsia="標楷體" w:hAnsi="標楷體"/>
          <w:sz w:val="28"/>
          <w:szCs w:val="28"/>
        </w:rPr>
        <w:t>3</w:t>
      </w:r>
      <w:r w:rsidRPr="00535128">
        <w:rPr>
          <w:rFonts w:ascii="標楷體" w:eastAsia="標楷體" w:hAnsi="標楷體" w:hint="eastAsia"/>
          <w:sz w:val="28"/>
          <w:szCs w:val="28"/>
        </w:rPr>
        <w:t>、檢討及策進作為：本會將依「中央各主管機關編製年度概算應行注意辦理事項」，於擬編概算時，注重主管業務範圍內各中長程個案計畫、法律案之性別影響評估結果，並持續關注相關法規有關促進性別平等工作之需求，需優先推動之計畫，於所獲配年度主管歲出概算額度內，優先編列預算辦理；賡續於中長程個案計畫或其他計畫各階段，運用「性別影響評估檢視表」，檢視性別相關預算是否依不同性別需求編列或調整。</w:t>
      </w:r>
    </w:p>
    <w:p w:rsidR="00514373" w:rsidRDefault="00514373" w:rsidP="007A0952">
      <w:pPr>
        <w:widowControl/>
        <w:snapToGrid w:val="0"/>
        <w:spacing w:line="500" w:lineRule="atLeast"/>
        <w:rPr>
          <w:rFonts w:ascii="標楷體" w:eastAsia="標楷體" w:hAnsi="標楷體"/>
          <w:b/>
          <w:sz w:val="28"/>
          <w:szCs w:val="28"/>
        </w:rPr>
      </w:pPr>
    </w:p>
    <w:p w:rsidR="00514373" w:rsidRDefault="00514373" w:rsidP="007A0952">
      <w:pPr>
        <w:widowControl/>
        <w:snapToGrid w:val="0"/>
        <w:spacing w:line="500" w:lineRule="atLeast"/>
        <w:rPr>
          <w:rFonts w:ascii="標楷體" w:eastAsia="標楷體" w:hAnsi="標楷體"/>
          <w:b/>
          <w:sz w:val="28"/>
          <w:szCs w:val="28"/>
        </w:rPr>
      </w:pPr>
    </w:p>
    <w:p w:rsidR="00514373" w:rsidRPr="00535128" w:rsidRDefault="00514373" w:rsidP="007A0952">
      <w:pPr>
        <w:widowControl/>
        <w:snapToGrid w:val="0"/>
        <w:spacing w:line="500" w:lineRule="atLeast"/>
        <w:rPr>
          <w:rFonts w:ascii="標楷體" w:eastAsia="標楷體" w:hAnsi="標楷體"/>
          <w:b/>
          <w:sz w:val="28"/>
          <w:szCs w:val="28"/>
        </w:rPr>
      </w:pPr>
    </w:p>
    <w:p w:rsidR="00514373" w:rsidRPr="00535128" w:rsidRDefault="00514373" w:rsidP="007A0952">
      <w:pPr>
        <w:pStyle w:val="ListParagraph"/>
        <w:widowControl/>
        <w:numPr>
          <w:ilvl w:val="0"/>
          <w:numId w:val="8"/>
        </w:numPr>
        <w:snapToGrid w:val="0"/>
        <w:spacing w:line="500" w:lineRule="atLeast"/>
        <w:ind w:leftChars="0"/>
        <w:rPr>
          <w:rFonts w:ascii="標楷體" w:eastAsia="標楷體" w:hAnsi="標楷體"/>
          <w:b/>
          <w:sz w:val="28"/>
          <w:szCs w:val="28"/>
        </w:rPr>
      </w:pPr>
      <w:r w:rsidRPr="00535128">
        <w:rPr>
          <w:rFonts w:ascii="標楷體" w:eastAsia="標楷體" w:hAnsi="標楷體" w:hint="eastAsia"/>
          <w:b/>
          <w:sz w:val="32"/>
          <w:szCs w:val="32"/>
        </w:rPr>
        <w:t>其他執行檢討及改進</w:t>
      </w:r>
    </w:p>
    <w:p w:rsidR="00514373" w:rsidRPr="00535128" w:rsidRDefault="00514373" w:rsidP="007A0952">
      <w:pPr>
        <w:pStyle w:val="ListParagraph"/>
        <w:widowControl/>
        <w:numPr>
          <w:ilvl w:val="0"/>
          <w:numId w:val="11"/>
        </w:numPr>
        <w:snapToGrid w:val="0"/>
        <w:spacing w:line="500" w:lineRule="atLeast"/>
        <w:ind w:leftChars="0" w:left="851" w:hanging="567"/>
        <w:jc w:val="both"/>
        <w:rPr>
          <w:rFonts w:ascii="標楷體" w:eastAsia="標楷體" w:hAnsi="標楷體"/>
          <w:sz w:val="28"/>
          <w:szCs w:val="28"/>
        </w:rPr>
      </w:pPr>
      <w:r w:rsidRPr="00535128">
        <w:rPr>
          <w:rFonts w:ascii="標楷體" w:eastAsia="標楷體" w:hAnsi="標楷體" w:hint="eastAsia"/>
          <w:sz w:val="28"/>
          <w:szCs w:val="28"/>
        </w:rPr>
        <w:t>強化本會性別平等專案小組之運作功能：本</w:t>
      </w:r>
      <w:r>
        <w:rPr>
          <w:rFonts w:ascii="標楷體" w:eastAsia="標楷體" w:hAnsi="標楷體" w:hint="eastAsia"/>
          <w:sz w:val="28"/>
          <w:szCs w:val="28"/>
        </w:rPr>
        <w:t>會性別平等專案</w:t>
      </w:r>
      <w:r w:rsidRPr="00535128">
        <w:rPr>
          <w:rFonts w:ascii="標楷體" w:eastAsia="標楷體" w:hAnsi="標楷體" w:hint="eastAsia"/>
          <w:sz w:val="28"/>
          <w:szCs w:val="28"/>
        </w:rPr>
        <w:t>小組</w:t>
      </w:r>
      <w:r>
        <w:rPr>
          <w:rFonts w:ascii="標楷體" w:eastAsia="標楷體" w:hAnsi="標楷體" w:hint="eastAsia"/>
          <w:sz w:val="28"/>
          <w:szCs w:val="28"/>
        </w:rPr>
        <w:t>，</w:t>
      </w:r>
      <w:r w:rsidRPr="00535128">
        <w:rPr>
          <w:rFonts w:ascii="標楷體" w:eastAsia="標楷體" w:hAnsi="標楷體" w:hint="eastAsia"/>
          <w:sz w:val="28"/>
          <w:szCs w:val="28"/>
        </w:rPr>
        <w:t>由本會</w:t>
      </w:r>
      <w:r>
        <w:rPr>
          <w:rFonts w:ascii="標楷體" w:eastAsia="標楷體" w:hAnsi="標楷體" w:hint="eastAsia"/>
          <w:sz w:val="28"/>
          <w:szCs w:val="28"/>
        </w:rPr>
        <w:t>副</w:t>
      </w:r>
      <w:r w:rsidRPr="00535128">
        <w:rPr>
          <w:rFonts w:ascii="標楷體" w:eastAsia="標楷體" w:hAnsi="標楷體" w:hint="eastAsia"/>
          <w:sz w:val="28"/>
          <w:szCs w:val="28"/>
        </w:rPr>
        <w:t>主任委員擔任</w:t>
      </w:r>
      <w:r>
        <w:rPr>
          <w:rFonts w:ascii="標楷體" w:eastAsia="標楷體" w:hAnsi="標楷體" w:hint="eastAsia"/>
          <w:sz w:val="28"/>
          <w:szCs w:val="28"/>
        </w:rPr>
        <w:t>召集人</w:t>
      </w:r>
      <w:r w:rsidRPr="00535128">
        <w:rPr>
          <w:rFonts w:ascii="標楷體" w:eastAsia="標楷體" w:hAnsi="標楷體" w:hint="eastAsia"/>
          <w:sz w:val="28"/>
          <w:szCs w:val="28"/>
        </w:rPr>
        <w:t>，</w:t>
      </w:r>
      <w:r>
        <w:rPr>
          <w:rFonts w:ascii="標楷體" w:eastAsia="標楷體" w:hAnsi="標楷體" w:hint="eastAsia"/>
          <w:sz w:val="28"/>
          <w:szCs w:val="28"/>
        </w:rPr>
        <w:t>其餘委員由主任委員就本會各單位人員遴派，並遴聘劉教授梅君、楊律師芳婉、黃副教授馨慧及羅教授燦煐擔任外聘委員，本小組委員總人數</w:t>
      </w:r>
      <w:r>
        <w:rPr>
          <w:rFonts w:ascii="標楷體" w:eastAsia="標楷體" w:hAnsi="標楷體"/>
          <w:sz w:val="28"/>
          <w:szCs w:val="28"/>
        </w:rPr>
        <w:t>12</w:t>
      </w:r>
      <w:r>
        <w:rPr>
          <w:rFonts w:ascii="標楷體" w:eastAsia="標楷體" w:hAnsi="標楷體" w:hint="eastAsia"/>
          <w:sz w:val="28"/>
          <w:szCs w:val="28"/>
        </w:rPr>
        <w:t>人，其中女性委員</w:t>
      </w:r>
      <w:r>
        <w:rPr>
          <w:rFonts w:ascii="標楷體" w:eastAsia="標楷體" w:hAnsi="標楷體"/>
          <w:sz w:val="28"/>
          <w:szCs w:val="28"/>
        </w:rPr>
        <w:t>8</w:t>
      </w:r>
      <w:r>
        <w:rPr>
          <w:rFonts w:ascii="標楷體" w:eastAsia="標楷體" w:hAnsi="標楷體" w:hint="eastAsia"/>
          <w:sz w:val="28"/>
          <w:szCs w:val="28"/>
        </w:rPr>
        <w:t>人，男性委員</w:t>
      </w:r>
      <w:r>
        <w:rPr>
          <w:rFonts w:ascii="標楷體" w:eastAsia="標楷體" w:hAnsi="標楷體"/>
          <w:sz w:val="28"/>
          <w:szCs w:val="28"/>
        </w:rPr>
        <w:t>4</w:t>
      </w:r>
      <w:r>
        <w:rPr>
          <w:rFonts w:ascii="標楷體" w:eastAsia="標楷體" w:hAnsi="標楷體" w:hint="eastAsia"/>
          <w:sz w:val="28"/>
          <w:szCs w:val="28"/>
        </w:rPr>
        <w:t>人，符合任性別比率達三分之一之規定。另外聘專家學者人數</w:t>
      </w:r>
      <w:r>
        <w:rPr>
          <w:rFonts w:ascii="標楷體" w:eastAsia="標楷體" w:hAnsi="標楷體"/>
          <w:sz w:val="28"/>
          <w:szCs w:val="28"/>
        </w:rPr>
        <w:t>4</w:t>
      </w:r>
      <w:r>
        <w:rPr>
          <w:rFonts w:ascii="標楷體" w:eastAsia="標楷體" w:hAnsi="標楷體" w:hint="eastAsia"/>
          <w:sz w:val="28"/>
          <w:szCs w:val="28"/>
        </w:rPr>
        <w:t>人中，</w:t>
      </w:r>
      <w:r w:rsidRPr="00535128">
        <w:rPr>
          <w:rFonts w:ascii="標楷體" w:eastAsia="標楷體" w:hAnsi="標楷體" w:hint="eastAsia"/>
          <w:sz w:val="28"/>
          <w:szCs w:val="28"/>
        </w:rPr>
        <w:t>羅委員燦煐</w:t>
      </w:r>
      <w:r>
        <w:rPr>
          <w:rFonts w:ascii="標楷體" w:eastAsia="標楷體" w:hAnsi="標楷體" w:hint="eastAsia"/>
          <w:sz w:val="28"/>
          <w:szCs w:val="28"/>
        </w:rPr>
        <w:t>為</w:t>
      </w:r>
      <w:r w:rsidRPr="00535128">
        <w:rPr>
          <w:rFonts w:ascii="標楷體" w:eastAsia="標楷體" w:hAnsi="標楷體" w:hint="eastAsia"/>
          <w:sz w:val="28"/>
          <w:szCs w:val="28"/>
        </w:rPr>
        <w:t>現任行政院性別平等會委員，</w:t>
      </w:r>
      <w:r>
        <w:rPr>
          <w:rFonts w:ascii="標楷體" w:eastAsia="標楷體" w:hAnsi="標楷體" w:hint="eastAsia"/>
          <w:sz w:val="28"/>
          <w:szCs w:val="28"/>
        </w:rPr>
        <w:t>符合本會性別平等專案小組設置要點規定。本小組原則</w:t>
      </w:r>
      <w:r w:rsidRPr="00535128">
        <w:rPr>
          <w:rFonts w:ascii="標楷體" w:eastAsia="標楷體" w:hAnsi="標楷體"/>
          <w:sz w:val="28"/>
          <w:szCs w:val="28"/>
        </w:rPr>
        <w:t>4</w:t>
      </w:r>
      <w:r w:rsidRPr="00535128">
        <w:rPr>
          <w:rFonts w:ascii="標楷體" w:eastAsia="標楷體" w:hAnsi="標楷體" w:hint="eastAsia"/>
          <w:sz w:val="28"/>
          <w:szCs w:val="28"/>
        </w:rPr>
        <w:t>個月召開會議</w:t>
      </w:r>
      <w:r>
        <w:rPr>
          <w:rFonts w:ascii="標楷體" w:eastAsia="標楷體" w:hAnsi="標楷體" w:hint="eastAsia"/>
          <w:sz w:val="28"/>
          <w:szCs w:val="28"/>
        </w:rPr>
        <w:t>，每次召開會議均有</w:t>
      </w:r>
      <w:r>
        <w:rPr>
          <w:rFonts w:ascii="標楷體" w:eastAsia="標楷體" w:hAnsi="標楷體"/>
          <w:sz w:val="28"/>
          <w:szCs w:val="28"/>
        </w:rPr>
        <w:t>1</w:t>
      </w:r>
      <w:r>
        <w:rPr>
          <w:rFonts w:ascii="標楷體" w:eastAsia="標楷體" w:hAnsi="標楷體" w:hint="eastAsia"/>
          <w:sz w:val="28"/>
          <w:szCs w:val="28"/>
        </w:rPr>
        <w:t>個討論案</w:t>
      </w:r>
      <w:r w:rsidRPr="00535128">
        <w:rPr>
          <w:rFonts w:ascii="標楷體" w:eastAsia="標楷體" w:hAnsi="標楷體" w:hint="eastAsia"/>
          <w:sz w:val="28"/>
          <w:szCs w:val="28"/>
        </w:rPr>
        <w:t>。本小組</w:t>
      </w:r>
      <w:r w:rsidRPr="00535128">
        <w:rPr>
          <w:rFonts w:ascii="標楷體" w:eastAsia="標楷體" w:hAnsi="標楷體"/>
          <w:sz w:val="28"/>
          <w:szCs w:val="28"/>
        </w:rPr>
        <w:t>103</w:t>
      </w:r>
      <w:r w:rsidRPr="00535128">
        <w:rPr>
          <w:rFonts w:ascii="標楷體" w:eastAsia="標楷體" w:hAnsi="標楷體" w:hint="eastAsia"/>
          <w:sz w:val="28"/>
          <w:szCs w:val="28"/>
        </w:rPr>
        <w:t>年度分別於</w:t>
      </w:r>
      <w:smartTag w:uri="urn:schemas-microsoft-com:office:smarttags" w:element="chsdate">
        <w:smartTagPr>
          <w:attr w:name="IsROCDate" w:val="False"/>
          <w:attr w:name="IsLunarDate" w:val="False"/>
          <w:attr w:name="Day" w:val="24"/>
          <w:attr w:name="Month" w:val="4"/>
          <w:attr w:name="Year" w:val="2015"/>
        </w:smartTagPr>
        <w:r w:rsidRPr="00535128">
          <w:rPr>
            <w:rFonts w:ascii="標楷體" w:eastAsia="標楷體" w:hAnsi="標楷體"/>
            <w:sz w:val="28"/>
            <w:szCs w:val="28"/>
          </w:rPr>
          <w:t>4</w:t>
        </w:r>
        <w:r w:rsidRPr="00535128">
          <w:rPr>
            <w:rFonts w:ascii="標楷體" w:eastAsia="標楷體" w:hAnsi="標楷體" w:hint="eastAsia"/>
            <w:sz w:val="28"/>
            <w:szCs w:val="28"/>
          </w:rPr>
          <w:t>月</w:t>
        </w:r>
        <w:r w:rsidRPr="00535128">
          <w:rPr>
            <w:rFonts w:ascii="標楷體" w:eastAsia="標楷體" w:hAnsi="標楷體"/>
            <w:sz w:val="28"/>
            <w:szCs w:val="28"/>
          </w:rPr>
          <w:t>24</w:t>
        </w:r>
        <w:r w:rsidRPr="00535128">
          <w:rPr>
            <w:rFonts w:ascii="標楷體" w:eastAsia="標楷體" w:hAnsi="標楷體" w:hint="eastAsia"/>
            <w:sz w:val="28"/>
            <w:szCs w:val="28"/>
          </w:rPr>
          <w:t>日</w:t>
        </w:r>
      </w:smartTag>
      <w:r w:rsidRPr="00535128">
        <w:rPr>
          <w:rFonts w:ascii="標楷體" w:eastAsia="標楷體" w:hAnsi="標楷體" w:hint="eastAsia"/>
          <w:sz w:val="28"/>
          <w:szCs w:val="28"/>
        </w:rPr>
        <w:t>、</w:t>
      </w:r>
      <w:smartTag w:uri="urn:schemas-microsoft-com:office:smarttags" w:element="chsdate">
        <w:smartTagPr>
          <w:attr w:name="IsROCDate" w:val="False"/>
          <w:attr w:name="IsLunarDate" w:val="False"/>
          <w:attr w:name="Day" w:val="18"/>
          <w:attr w:name="Month" w:val="6"/>
          <w:attr w:name="Year" w:val="2015"/>
        </w:smartTagPr>
        <w:r w:rsidRPr="00535128">
          <w:rPr>
            <w:rFonts w:ascii="標楷體" w:eastAsia="標楷體" w:hAnsi="標楷體"/>
            <w:sz w:val="28"/>
            <w:szCs w:val="28"/>
          </w:rPr>
          <w:t>6</w:t>
        </w:r>
        <w:r w:rsidRPr="00535128">
          <w:rPr>
            <w:rFonts w:ascii="標楷體" w:eastAsia="標楷體" w:hAnsi="標楷體" w:hint="eastAsia"/>
            <w:sz w:val="28"/>
            <w:szCs w:val="28"/>
          </w:rPr>
          <w:t>月</w:t>
        </w:r>
        <w:r w:rsidRPr="00535128">
          <w:rPr>
            <w:rFonts w:ascii="標楷體" w:eastAsia="標楷體" w:hAnsi="標楷體"/>
            <w:sz w:val="28"/>
            <w:szCs w:val="28"/>
          </w:rPr>
          <w:t>18</w:t>
        </w:r>
        <w:r w:rsidRPr="00535128">
          <w:rPr>
            <w:rFonts w:ascii="標楷體" w:eastAsia="標楷體" w:hAnsi="標楷體" w:hint="eastAsia"/>
            <w:sz w:val="28"/>
            <w:szCs w:val="28"/>
          </w:rPr>
          <w:t>日</w:t>
        </w:r>
      </w:smartTag>
      <w:r w:rsidRPr="00535128">
        <w:rPr>
          <w:rFonts w:ascii="標楷體" w:eastAsia="標楷體" w:hAnsi="標楷體" w:hint="eastAsia"/>
          <w:sz w:val="28"/>
          <w:szCs w:val="28"/>
        </w:rPr>
        <w:t>及</w:t>
      </w:r>
      <w:r w:rsidRPr="00535128">
        <w:rPr>
          <w:rFonts w:ascii="標楷體" w:eastAsia="標楷體" w:hAnsi="標楷體"/>
          <w:sz w:val="28"/>
          <w:szCs w:val="28"/>
        </w:rPr>
        <w:t>10</w:t>
      </w:r>
      <w:r w:rsidRPr="00535128">
        <w:rPr>
          <w:rFonts w:ascii="標楷體" w:eastAsia="標楷體" w:hAnsi="標楷體" w:hint="eastAsia"/>
          <w:sz w:val="28"/>
          <w:szCs w:val="28"/>
        </w:rPr>
        <w:t>月</w:t>
      </w:r>
      <w:r w:rsidRPr="00535128">
        <w:rPr>
          <w:rFonts w:ascii="標楷體" w:eastAsia="標楷體" w:hAnsi="標楷體"/>
          <w:sz w:val="28"/>
          <w:szCs w:val="28"/>
        </w:rPr>
        <w:t>17</w:t>
      </w:r>
      <w:r w:rsidRPr="00535128">
        <w:rPr>
          <w:rFonts w:ascii="標楷體" w:eastAsia="標楷體" w:hAnsi="標楷體" w:hint="eastAsia"/>
          <w:sz w:val="28"/>
          <w:szCs w:val="28"/>
        </w:rPr>
        <w:t>日召開性別平等專案小組會議</w:t>
      </w:r>
      <w:r w:rsidRPr="00535128">
        <w:rPr>
          <w:rFonts w:ascii="標楷體" w:eastAsia="標楷體" w:hAnsi="標楷體"/>
          <w:sz w:val="28"/>
          <w:szCs w:val="28"/>
        </w:rPr>
        <w:t>(</w:t>
      </w:r>
      <w:r w:rsidRPr="00535128">
        <w:rPr>
          <w:rFonts w:ascii="標楷體" w:eastAsia="標楷體" w:hAnsi="標楷體" w:hint="eastAsia"/>
          <w:sz w:val="28"/>
          <w:szCs w:val="28"/>
        </w:rPr>
        <w:t>含書面審查</w:t>
      </w:r>
      <w:r w:rsidRPr="00535128">
        <w:rPr>
          <w:rFonts w:ascii="標楷體" w:eastAsia="標楷體" w:hAnsi="標楷體"/>
          <w:sz w:val="28"/>
          <w:szCs w:val="28"/>
        </w:rPr>
        <w:t>)</w:t>
      </w:r>
      <w:r w:rsidRPr="00535128">
        <w:rPr>
          <w:rFonts w:ascii="標楷體" w:eastAsia="標楷體" w:hAnsi="標楷體" w:hint="eastAsia"/>
          <w:sz w:val="28"/>
          <w:szCs w:val="28"/>
        </w:rPr>
        <w:t>，每次會議至少有</w:t>
      </w:r>
      <w:r w:rsidRPr="00535128">
        <w:rPr>
          <w:rFonts w:ascii="標楷體" w:eastAsia="標楷體" w:hAnsi="標楷體"/>
          <w:sz w:val="28"/>
          <w:szCs w:val="28"/>
        </w:rPr>
        <w:t>2</w:t>
      </w:r>
      <w:r w:rsidRPr="00535128">
        <w:rPr>
          <w:rFonts w:ascii="標楷體" w:eastAsia="標楷體" w:hAnsi="標楷體" w:hint="eastAsia"/>
          <w:sz w:val="28"/>
          <w:szCs w:val="28"/>
        </w:rPr>
        <w:t>位外聘委員與會指導並提供寶貴意見，討論</w:t>
      </w:r>
      <w:r>
        <w:rPr>
          <w:rFonts w:ascii="標楷體" w:eastAsia="標楷體" w:hAnsi="標楷體"/>
          <w:sz w:val="28"/>
          <w:szCs w:val="28"/>
        </w:rPr>
        <w:t>1</w:t>
      </w:r>
      <w:r w:rsidRPr="00535128">
        <w:rPr>
          <w:rFonts w:ascii="標楷體" w:eastAsia="標楷體" w:hAnsi="標楷體" w:hint="eastAsia"/>
          <w:sz w:val="28"/>
          <w:szCs w:val="28"/>
        </w:rPr>
        <w:t>案以上性別議題，並將行政院性別平等會決議事項納入工作報告及進行追蹤管考等工作，均有具體決議及辦理成效。</w:t>
      </w:r>
    </w:p>
    <w:p w:rsidR="00514373" w:rsidRPr="00535128" w:rsidRDefault="00514373" w:rsidP="007A0952">
      <w:pPr>
        <w:pStyle w:val="ListParagraph"/>
        <w:widowControl/>
        <w:numPr>
          <w:ilvl w:val="0"/>
          <w:numId w:val="11"/>
        </w:numPr>
        <w:snapToGrid w:val="0"/>
        <w:spacing w:line="500" w:lineRule="atLeast"/>
        <w:ind w:leftChars="0" w:left="851" w:hanging="567"/>
        <w:jc w:val="both"/>
        <w:rPr>
          <w:rFonts w:ascii="標楷體" w:eastAsia="標楷體" w:hAnsi="標楷體"/>
          <w:sz w:val="28"/>
          <w:szCs w:val="28"/>
        </w:rPr>
      </w:pPr>
      <w:r w:rsidRPr="00535128">
        <w:rPr>
          <w:rFonts w:ascii="標楷體" w:eastAsia="標楷體" w:hAnsi="標楷體" w:hint="eastAsia"/>
          <w:sz w:val="28"/>
          <w:szCs w:val="28"/>
        </w:rPr>
        <w:t>提升性別影響評估辦理品質及管考性別目標達成情形：</w:t>
      </w:r>
    </w:p>
    <w:p w:rsidR="00514373" w:rsidRPr="00535128" w:rsidRDefault="00514373" w:rsidP="00851775">
      <w:pPr>
        <w:pStyle w:val="ListParagraph"/>
        <w:widowControl/>
        <w:numPr>
          <w:ilvl w:val="0"/>
          <w:numId w:val="23"/>
        </w:numPr>
        <w:snapToGrid w:val="0"/>
        <w:spacing w:line="500" w:lineRule="atLeast"/>
        <w:ind w:leftChars="0" w:left="1276" w:hanging="992"/>
        <w:jc w:val="both"/>
        <w:rPr>
          <w:rFonts w:ascii="標楷體" w:eastAsia="標楷體" w:hAnsi="標楷體"/>
          <w:sz w:val="28"/>
          <w:szCs w:val="28"/>
        </w:rPr>
      </w:pPr>
      <w:r w:rsidRPr="00535128">
        <w:rPr>
          <w:rFonts w:ascii="標楷體" w:eastAsia="標楷體" w:hAnsi="標楷體" w:hint="eastAsia"/>
          <w:sz w:val="28"/>
          <w:szCs w:val="28"/>
        </w:rPr>
        <w:t>提升性別影響評估辦理品質：依「專家學者建議名單資料庫審議小組設置要點」辦理專家學者建議名單資料庫之審議作業，為納入性別觀點，於遴聘該審議小組委員時任一性別委員比例達三分之一以上。</w:t>
      </w:r>
    </w:p>
    <w:p w:rsidR="00514373" w:rsidRPr="00535128" w:rsidRDefault="00514373" w:rsidP="007A0952">
      <w:pPr>
        <w:pStyle w:val="ListParagraph"/>
        <w:widowControl/>
        <w:numPr>
          <w:ilvl w:val="0"/>
          <w:numId w:val="23"/>
        </w:numPr>
        <w:snapToGrid w:val="0"/>
        <w:spacing w:line="500" w:lineRule="atLeast"/>
        <w:ind w:leftChars="0" w:left="1276" w:hanging="992"/>
        <w:jc w:val="both"/>
        <w:rPr>
          <w:rFonts w:ascii="標楷體" w:eastAsia="標楷體" w:hAnsi="標楷體"/>
          <w:sz w:val="28"/>
          <w:szCs w:val="28"/>
        </w:rPr>
      </w:pPr>
      <w:r w:rsidRPr="00535128">
        <w:rPr>
          <w:rFonts w:ascii="標楷體" w:eastAsia="標楷體" w:hAnsi="標楷體" w:hint="eastAsia"/>
          <w:sz w:val="28"/>
          <w:szCs w:val="28"/>
        </w:rPr>
        <w:t>管考性別目標達成情形：查「專家學者建議名單資料庫審議小組」委員總人數自</w:t>
      </w:r>
      <w:r w:rsidRPr="00535128">
        <w:rPr>
          <w:rFonts w:ascii="標楷體" w:eastAsia="標楷體" w:hAnsi="標楷體"/>
          <w:sz w:val="28"/>
          <w:szCs w:val="28"/>
        </w:rPr>
        <w:t>103</w:t>
      </w:r>
      <w:r w:rsidRPr="00535128">
        <w:rPr>
          <w:rFonts w:ascii="標楷體" w:eastAsia="標楷體" w:hAnsi="標楷體" w:hint="eastAsia"/>
          <w:sz w:val="28"/>
          <w:szCs w:val="28"/>
        </w:rPr>
        <w:t>年度由</w:t>
      </w:r>
      <w:r w:rsidRPr="00535128">
        <w:rPr>
          <w:rFonts w:ascii="標楷體" w:eastAsia="標楷體" w:hAnsi="標楷體"/>
          <w:sz w:val="28"/>
          <w:szCs w:val="28"/>
        </w:rPr>
        <w:t>8</w:t>
      </w:r>
      <w:r w:rsidRPr="00535128">
        <w:rPr>
          <w:rFonts w:ascii="標楷體" w:eastAsia="標楷體" w:hAnsi="標楷體" w:hint="eastAsia"/>
          <w:sz w:val="28"/>
          <w:szCs w:val="28"/>
        </w:rPr>
        <w:t>人提升至</w:t>
      </w:r>
      <w:r w:rsidRPr="00535128">
        <w:rPr>
          <w:rFonts w:ascii="標楷體" w:eastAsia="標楷體" w:hAnsi="標楷體"/>
          <w:sz w:val="28"/>
          <w:szCs w:val="28"/>
        </w:rPr>
        <w:t>9</w:t>
      </w:r>
      <w:r w:rsidRPr="00535128">
        <w:rPr>
          <w:rFonts w:ascii="標楷體" w:eastAsia="標楷體" w:hAnsi="標楷體" w:hint="eastAsia"/>
          <w:sz w:val="28"/>
          <w:szCs w:val="28"/>
        </w:rPr>
        <w:t>人，其中</w:t>
      </w:r>
      <w:r w:rsidRPr="00535128">
        <w:rPr>
          <w:rFonts w:ascii="標楷體" w:eastAsia="標楷體" w:hAnsi="標楷體"/>
          <w:sz w:val="28"/>
          <w:szCs w:val="28"/>
        </w:rPr>
        <w:t>3</w:t>
      </w:r>
      <w:r w:rsidRPr="00535128">
        <w:rPr>
          <w:rFonts w:ascii="標楷體" w:eastAsia="標楷體" w:hAnsi="標楷體" w:hint="eastAsia"/>
          <w:sz w:val="28"/>
          <w:szCs w:val="28"/>
        </w:rPr>
        <w:t>位為女性，女性比率</w:t>
      </w:r>
      <w:r w:rsidRPr="00535128">
        <w:rPr>
          <w:rFonts w:ascii="標楷體" w:eastAsia="標楷體" w:hAnsi="標楷體"/>
          <w:sz w:val="28"/>
          <w:szCs w:val="28"/>
        </w:rPr>
        <w:t>33%</w:t>
      </w:r>
      <w:r w:rsidRPr="00535128">
        <w:rPr>
          <w:rFonts w:ascii="標楷體" w:eastAsia="標楷體" w:hAnsi="標楷體" w:hint="eastAsia"/>
          <w:sz w:val="28"/>
          <w:szCs w:val="28"/>
        </w:rPr>
        <w:t>，已達成</w:t>
      </w:r>
      <w:r w:rsidRPr="00535128">
        <w:rPr>
          <w:rFonts w:ascii="標楷體" w:eastAsia="標楷體" w:hAnsi="標楷體"/>
          <w:sz w:val="28"/>
          <w:szCs w:val="28"/>
        </w:rPr>
        <w:t>103</w:t>
      </w:r>
      <w:r w:rsidRPr="00535128">
        <w:rPr>
          <w:rFonts w:ascii="標楷體" w:eastAsia="標楷體" w:hAnsi="標楷體" w:hint="eastAsia"/>
          <w:sz w:val="28"/>
          <w:szCs w:val="28"/>
        </w:rPr>
        <w:t>年預定目標</w:t>
      </w:r>
      <w:r w:rsidRPr="00535128">
        <w:rPr>
          <w:rFonts w:ascii="標楷體" w:eastAsia="標楷體" w:hAnsi="標楷體"/>
          <w:sz w:val="28"/>
          <w:szCs w:val="28"/>
        </w:rPr>
        <w:t>25%</w:t>
      </w:r>
      <w:r w:rsidRPr="00535128">
        <w:rPr>
          <w:rFonts w:ascii="標楷體" w:eastAsia="標楷體" w:hAnsi="標楷體" w:hint="eastAsia"/>
          <w:sz w:val="28"/>
          <w:szCs w:val="28"/>
        </w:rPr>
        <w:t>。另</w:t>
      </w:r>
      <w:r w:rsidRPr="00535128">
        <w:rPr>
          <w:rFonts w:ascii="標楷體" w:eastAsia="標楷體" w:hAnsi="標楷體"/>
          <w:sz w:val="28"/>
          <w:szCs w:val="28"/>
        </w:rPr>
        <w:t>103</w:t>
      </w:r>
      <w:r w:rsidRPr="00535128">
        <w:rPr>
          <w:rFonts w:ascii="標楷體" w:eastAsia="標楷體" w:hAnsi="標楷體" w:hint="eastAsia"/>
          <w:sz w:val="28"/>
          <w:szCs w:val="28"/>
        </w:rPr>
        <w:t>年度「女性人員參與公共工程基本設計審議業務比率」實際值為</w:t>
      </w:r>
      <w:r w:rsidRPr="00535128">
        <w:rPr>
          <w:rFonts w:ascii="標楷體" w:eastAsia="標楷體" w:hAnsi="標楷體"/>
          <w:sz w:val="28"/>
          <w:szCs w:val="28"/>
        </w:rPr>
        <w:t>5.56%</w:t>
      </w:r>
      <w:r w:rsidRPr="00535128">
        <w:rPr>
          <w:rFonts w:ascii="標楷體" w:eastAsia="標楷體" w:hAnsi="標楷體" w:hint="eastAsia"/>
          <w:sz w:val="28"/>
          <w:szCs w:val="28"/>
        </w:rPr>
        <w:t>，已達成</w:t>
      </w:r>
      <w:r w:rsidRPr="00535128">
        <w:rPr>
          <w:rFonts w:ascii="標楷體" w:eastAsia="標楷體" w:hAnsi="標楷體"/>
          <w:sz w:val="28"/>
          <w:szCs w:val="28"/>
        </w:rPr>
        <w:t>103</w:t>
      </w:r>
      <w:r w:rsidRPr="00535128">
        <w:rPr>
          <w:rFonts w:ascii="標楷體" w:eastAsia="標楷體" w:hAnsi="標楷體" w:hint="eastAsia"/>
          <w:sz w:val="28"/>
          <w:szCs w:val="28"/>
        </w:rPr>
        <w:t>年度預定目標</w:t>
      </w:r>
      <w:r w:rsidRPr="00535128">
        <w:rPr>
          <w:rFonts w:ascii="標楷體" w:eastAsia="標楷體" w:hAnsi="標楷體"/>
          <w:sz w:val="28"/>
          <w:szCs w:val="28"/>
        </w:rPr>
        <w:t>3%</w:t>
      </w:r>
      <w:r w:rsidRPr="00535128">
        <w:rPr>
          <w:rFonts w:ascii="標楷體" w:eastAsia="標楷體" w:hAnsi="標楷體" w:hint="eastAsia"/>
          <w:sz w:val="28"/>
          <w:szCs w:val="28"/>
        </w:rPr>
        <w:t>。</w:t>
      </w:r>
    </w:p>
    <w:p w:rsidR="00514373" w:rsidRPr="00535128" w:rsidRDefault="00514373" w:rsidP="007A0952">
      <w:pPr>
        <w:pStyle w:val="ListParagraph"/>
        <w:widowControl/>
        <w:numPr>
          <w:ilvl w:val="0"/>
          <w:numId w:val="11"/>
        </w:numPr>
        <w:snapToGrid w:val="0"/>
        <w:spacing w:line="500" w:lineRule="atLeast"/>
        <w:ind w:leftChars="0" w:left="851" w:hanging="567"/>
        <w:jc w:val="both"/>
        <w:rPr>
          <w:rFonts w:ascii="標楷體" w:eastAsia="標楷體" w:hAnsi="標楷體"/>
          <w:sz w:val="28"/>
          <w:szCs w:val="28"/>
        </w:rPr>
      </w:pPr>
      <w:r w:rsidRPr="00535128">
        <w:rPr>
          <w:rFonts w:ascii="標楷體" w:eastAsia="標楷體" w:hAnsi="標楷體" w:hint="eastAsia"/>
          <w:sz w:val="28"/>
          <w:szCs w:val="28"/>
        </w:rPr>
        <w:t>施政規劃、執行及評估時，加強運用性別統計及分析資料：賡續充實性別統計指標項目，並於辦理調查、統計時，以納入性別分類為原則；定期更新機關性別統計專屬網頁資料；將運用性別統計之政策分析適時公布於機關專頁，供各界參考運用。</w:t>
      </w:r>
    </w:p>
    <w:p w:rsidR="00514373" w:rsidRPr="00535128" w:rsidRDefault="00514373" w:rsidP="007A0952">
      <w:pPr>
        <w:pStyle w:val="ListParagraph"/>
        <w:widowControl/>
        <w:numPr>
          <w:ilvl w:val="0"/>
          <w:numId w:val="11"/>
        </w:numPr>
        <w:snapToGrid w:val="0"/>
        <w:spacing w:line="500" w:lineRule="atLeast"/>
        <w:ind w:leftChars="0" w:left="851" w:hanging="567"/>
        <w:jc w:val="both"/>
        <w:rPr>
          <w:rFonts w:ascii="標楷體" w:eastAsia="標楷體" w:hAnsi="標楷體"/>
          <w:sz w:val="28"/>
          <w:szCs w:val="28"/>
        </w:rPr>
      </w:pPr>
      <w:r w:rsidRPr="00535128">
        <w:rPr>
          <w:rFonts w:ascii="標楷體" w:eastAsia="標楷體" w:hAnsi="標楷體" w:hint="eastAsia"/>
          <w:sz w:val="28"/>
          <w:szCs w:val="28"/>
        </w:rPr>
        <w:t>擴大性別預算檢視範圍及加強性別預算說明：本會將依「中央各主管機關編製年度概算應行注意辦理事項」，於擬編概算時，注重主管業務範圍內各中長程個案計畫、法律案之性別影響評估結果，並持續關注相關法規有關促進性別平等工作之需求，需優先推動之計畫，於所獲配年度主管歲出概算額度內，優先編列預算辦理；賡續於中長程個案計畫或其他計畫各階段，運用「性別影響評估檢視表」，檢視性別相關預算是否依不同性別需求編列或調整。</w:t>
      </w:r>
    </w:p>
    <w:p w:rsidR="00514373" w:rsidRPr="00535128" w:rsidRDefault="00514373" w:rsidP="00183F1E">
      <w:pPr>
        <w:pStyle w:val="ListParagraph"/>
        <w:widowControl/>
        <w:numPr>
          <w:ilvl w:val="0"/>
          <w:numId w:val="11"/>
        </w:numPr>
        <w:snapToGrid w:val="0"/>
        <w:spacing w:line="500" w:lineRule="atLeast"/>
        <w:ind w:leftChars="0" w:left="851" w:hanging="567"/>
        <w:jc w:val="both"/>
        <w:rPr>
          <w:rFonts w:ascii="標楷體" w:eastAsia="標楷體" w:hAnsi="標楷體"/>
          <w:sz w:val="28"/>
          <w:szCs w:val="28"/>
        </w:rPr>
      </w:pPr>
      <w:r w:rsidRPr="00535128">
        <w:rPr>
          <w:rFonts w:ascii="標楷體" w:eastAsia="標楷體" w:hAnsi="標楷體" w:hint="eastAsia"/>
          <w:sz w:val="28"/>
          <w:szCs w:val="28"/>
        </w:rPr>
        <w:t>加強落實性別主流化訓練：未來除推動本會既有的性別主流化相關訓練課程，提高本會同仁性別平權的觀念、增進業務承辦人推動性別主流化之能力外，分級規劃性別主流化訓練課程，基礎課程使一般同仁具備性別主流化之基本概念；進階課程如性別統計、性別分析、性別預算及性別影響評估等，使性別主流化之理念、目標與操作架構得與業務工作相結合；另針對主管人員施以性別影響評估課程，以強化性別主流化意識。</w:t>
      </w:r>
    </w:p>
    <w:p w:rsidR="00514373" w:rsidRPr="00535128" w:rsidRDefault="00514373" w:rsidP="007A0952">
      <w:pPr>
        <w:pStyle w:val="ListParagraph"/>
        <w:widowControl/>
        <w:numPr>
          <w:ilvl w:val="0"/>
          <w:numId w:val="11"/>
        </w:numPr>
        <w:snapToGrid w:val="0"/>
        <w:spacing w:line="500" w:lineRule="atLeast"/>
        <w:ind w:leftChars="0" w:left="851" w:hanging="567"/>
        <w:jc w:val="both"/>
        <w:rPr>
          <w:rFonts w:ascii="標楷體" w:eastAsia="標楷體" w:hAnsi="標楷體"/>
          <w:sz w:val="28"/>
          <w:szCs w:val="28"/>
        </w:rPr>
      </w:pPr>
      <w:r w:rsidRPr="00535128">
        <w:rPr>
          <w:rFonts w:ascii="標楷體" w:eastAsia="標楷體" w:hAnsi="標楷體" w:hint="eastAsia"/>
          <w:sz w:val="28"/>
          <w:szCs w:val="28"/>
        </w:rPr>
        <w:t>賡續配合「性別平等政策綱領」</w:t>
      </w:r>
      <w:r>
        <w:rPr>
          <w:rFonts w:ascii="標楷體" w:eastAsia="標楷體" w:hAnsi="標楷體" w:hint="eastAsia"/>
          <w:sz w:val="28"/>
          <w:szCs w:val="28"/>
        </w:rPr>
        <w:t>，</w:t>
      </w:r>
      <w:r w:rsidRPr="00535128">
        <w:rPr>
          <w:rFonts w:ascii="標楷體" w:eastAsia="標楷體" w:hAnsi="標楷體" w:hint="eastAsia"/>
          <w:sz w:val="28"/>
          <w:szCs w:val="28"/>
        </w:rPr>
        <w:t>落實各項具體行動措施：配合行政院性別平等處，逐步落實「性別平等政策綱領」各項具體行動措施，於賡續定期修正填具辦理情形後，進行後續審查及填報作業，並將依行政院性別平等處之檢視意見及各篇諮詢會議或分工小組之會議結論，積極落實各篇具體行動措施，滾動修正本會辦理情形。</w:t>
      </w:r>
    </w:p>
    <w:p w:rsidR="00514373" w:rsidRPr="00535128" w:rsidRDefault="00514373" w:rsidP="007A0952">
      <w:pPr>
        <w:pStyle w:val="ListParagraph"/>
        <w:widowControl/>
        <w:snapToGrid w:val="0"/>
        <w:spacing w:line="500" w:lineRule="atLeast"/>
        <w:ind w:leftChars="0" w:left="1440"/>
        <w:jc w:val="both"/>
        <w:rPr>
          <w:rFonts w:ascii="標楷體" w:eastAsia="標楷體" w:hAnsi="標楷體"/>
          <w:sz w:val="28"/>
          <w:szCs w:val="28"/>
        </w:rPr>
      </w:pPr>
    </w:p>
    <w:p w:rsidR="00514373" w:rsidRPr="00535128" w:rsidRDefault="00514373" w:rsidP="007A0952">
      <w:pPr>
        <w:pStyle w:val="ListParagraph"/>
        <w:widowControl/>
        <w:numPr>
          <w:ilvl w:val="0"/>
          <w:numId w:val="8"/>
        </w:numPr>
        <w:snapToGrid w:val="0"/>
        <w:spacing w:line="500" w:lineRule="atLeast"/>
        <w:ind w:leftChars="0"/>
        <w:rPr>
          <w:rFonts w:ascii="標楷體" w:eastAsia="標楷體" w:hAnsi="標楷體"/>
          <w:b/>
          <w:sz w:val="28"/>
          <w:szCs w:val="28"/>
        </w:rPr>
      </w:pPr>
      <w:r w:rsidRPr="00535128">
        <w:rPr>
          <w:rFonts w:ascii="標楷體" w:eastAsia="標楷體" w:hAnsi="標楷體" w:hint="eastAsia"/>
          <w:b/>
          <w:sz w:val="32"/>
          <w:szCs w:val="32"/>
        </w:rPr>
        <w:t>其他重大或特殊具體事蹟</w:t>
      </w:r>
    </w:p>
    <w:p w:rsidR="00514373" w:rsidRPr="007532EC" w:rsidRDefault="00514373" w:rsidP="007A0952">
      <w:pPr>
        <w:pStyle w:val="ListParagraph"/>
        <w:widowControl/>
        <w:numPr>
          <w:ilvl w:val="0"/>
          <w:numId w:val="12"/>
        </w:numPr>
        <w:snapToGrid w:val="0"/>
        <w:spacing w:line="500" w:lineRule="atLeast"/>
        <w:ind w:leftChars="0" w:left="993" w:hanging="709"/>
        <w:jc w:val="both"/>
        <w:rPr>
          <w:rFonts w:ascii="標楷體" w:eastAsia="標楷體" w:hAnsi="標楷體"/>
          <w:sz w:val="28"/>
          <w:szCs w:val="28"/>
        </w:rPr>
      </w:pPr>
      <w:r w:rsidRPr="00535128">
        <w:rPr>
          <w:rFonts w:ascii="標楷體" w:eastAsia="標楷體" w:hAnsi="標楷體" w:hint="eastAsia"/>
          <w:sz w:val="28"/>
          <w:szCs w:val="28"/>
        </w:rPr>
        <w:t>研發性別平等意識訓練課程、教材及充實師資人力之規劃及辦理情形【</w:t>
      </w:r>
      <w:r w:rsidRPr="00535128">
        <w:rPr>
          <w:rFonts w:ascii="標楷體" w:eastAsia="標楷體" w:hAnsi="標楷體" w:hint="eastAsia"/>
          <w:b/>
          <w:i/>
          <w:sz w:val="28"/>
          <w:szCs w:val="28"/>
        </w:rPr>
        <w:t>依據行政院性平處</w:t>
      </w:r>
      <w:r w:rsidRPr="00535128">
        <w:rPr>
          <w:rFonts w:ascii="標楷體" w:eastAsia="標楷體" w:hAnsi="標楷體"/>
          <w:b/>
          <w:i/>
          <w:sz w:val="28"/>
          <w:szCs w:val="28"/>
        </w:rPr>
        <w:t>103</w:t>
      </w:r>
      <w:r w:rsidRPr="00535128">
        <w:rPr>
          <w:rFonts w:ascii="標楷體" w:eastAsia="標楷體" w:hAnsi="標楷體" w:hint="eastAsia"/>
          <w:b/>
          <w:i/>
          <w:sz w:val="28"/>
          <w:szCs w:val="28"/>
        </w:rPr>
        <w:t>年</w:t>
      </w:r>
      <w:r w:rsidRPr="00535128">
        <w:rPr>
          <w:rFonts w:ascii="標楷體" w:eastAsia="標楷體" w:hAnsi="標楷體"/>
          <w:b/>
          <w:i/>
          <w:sz w:val="28"/>
          <w:szCs w:val="28"/>
        </w:rPr>
        <w:t>8</w:t>
      </w:r>
      <w:r w:rsidRPr="00535128">
        <w:rPr>
          <w:rFonts w:ascii="標楷體" w:eastAsia="標楷體" w:hAnsi="標楷體" w:hint="eastAsia"/>
          <w:b/>
          <w:i/>
          <w:sz w:val="28"/>
          <w:szCs w:val="28"/>
        </w:rPr>
        <w:t>月</w:t>
      </w:r>
      <w:r w:rsidRPr="00535128">
        <w:rPr>
          <w:rFonts w:ascii="標楷體" w:eastAsia="標楷體" w:hAnsi="標楷體"/>
          <w:b/>
          <w:i/>
          <w:sz w:val="28"/>
          <w:szCs w:val="28"/>
        </w:rPr>
        <w:t>11</w:t>
      </w:r>
      <w:r w:rsidRPr="00535128">
        <w:rPr>
          <w:rFonts w:ascii="標楷體" w:eastAsia="標楷體" w:hAnsi="標楷體" w:hint="eastAsia"/>
          <w:b/>
          <w:i/>
          <w:sz w:val="28"/>
          <w:szCs w:val="28"/>
        </w:rPr>
        <w:t>日院臺性平字第</w:t>
      </w:r>
      <w:r w:rsidRPr="00535128">
        <w:rPr>
          <w:rFonts w:ascii="標楷體" w:eastAsia="標楷體" w:hAnsi="標楷體"/>
          <w:b/>
          <w:i/>
          <w:sz w:val="28"/>
          <w:szCs w:val="28"/>
        </w:rPr>
        <w:t>1030143580</w:t>
      </w:r>
      <w:r w:rsidRPr="00535128">
        <w:rPr>
          <w:rFonts w:ascii="標楷體" w:eastAsia="標楷體" w:hAnsi="標楷體" w:hint="eastAsia"/>
          <w:b/>
          <w:i/>
          <w:sz w:val="28"/>
          <w:szCs w:val="28"/>
        </w:rPr>
        <w:t>號函，請各部會參酌行政院性別平等會「教育、媒體及文化組」委員意見，視主管業務所需配合辦理</w:t>
      </w:r>
      <w:r w:rsidRPr="00535128">
        <w:rPr>
          <w:rFonts w:ascii="標楷體" w:eastAsia="標楷體" w:hAnsi="標楷體" w:hint="eastAsia"/>
          <w:sz w:val="28"/>
          <w:szCs w:val="28"/>
        </w:rPr>
        <w:t>】：就本會主管政府採購業務研擬「政府採購與性別平等政策」教材，內容包括消除對婦女一切形式歧視公約</w:t>
      </w:r>
      <w:r w:rsidRPr="00535128">
        <w:rPr>
          <w:rFonts w:ascii="標楷體" w:eastAsia="標楷體" w:hAnsi="標楷體"/>
          <w:sz w:val="28"/>
          <w:szCs w:val="28"/>
        </w:rPr>
        <w:t>(CEDAW)</w:t>
      </w:r>
      <w:r w:rsidRPr="00535128">
        <w:rPr>
          <w:rFonts w:ascii="標楷體" w:eastAsia="標楷體" w:hAnsi="標楷體" w:hint="eastAsia"/>
          <w:sz w:val="28"/>
          <w:szCs w:val="28"/>
        </w:rPr>
        <w:t>與政府採購之關係、女性企業參與政府採購是否應予保障之探討、女性企業參與政府採購統計分析、本會政府採購業務與性平政策有關之作為</w:t>
      </w:r>
      <w:r w:rsidRPr="00535128">
        <w:rPr>
          <w:rFonts w:ascii="標楷體" w:eastAsia="標楷體" w:hAnsi="標楷體"/>
          <w:sz w:val="28"/>
          <w:szCs w:val="28"/>
        </w:rPr>
        <w:t>(</w:t>
      </w:r>
      <w:r w:rsidRPr="00535128">
        <w:rPr>
          <w:rFonts w:ascii="標楷體" w:eastAsia="標楷體" w:hAnsi="標楷體" w:hint="eastAsia"/>
          <w:sz w:val="28"/>
          <w:szCs w:val="28"/>
        </w:rPr>
        <w:t>包括</w:t>
      </w:r>
      <w:r w:rsidRPr="00535128">
        <w:rPr>
          <w:rFonts w:ascii="標楷體" w:eastAsia="標楷體" w:hAnsi="標楷體"/>
          <w:sz w:val="28"/>
          <w:szCs w:val="28"/>
        </w:rPr>
        <w:t>CEDAW</w:t>
      </w:r>
      <w:r w:rsidRPr="00535128">
        <w:rPr>
          <w:rFonts w:ascii="標楷體" w:eastAsia="標楷體" w:hAnsi="標楷體" w:hint="eastAsia"/>
          <w:sz w:val="28"/>
          <w:szCs w:val="28"/>
        </w:rPr>
        <w:t>法規檢視、</w:t>
      </w:r>
      <w:r w:rsidRPr="00535128">
        <w:rPr>
          <w:rFonts w:ascii="標楷體" w:eastAsia="標楷體" w:hAnsi="標楷體"/>
          <w:sz w:val="28"/>
          <w:szCs w:val="28"/>
        </w:rPr>
        <w:t>CEDAW</w:t>
      </w:r>
      <w:r w:rsidRPr="00535128">
        <w:rPr>
          <w:rFonts w:ascii="標楷體" w:eastAsia="標楷體" w:hAnsi="標楷體" w:hint="eastAsia"/>
          <w:sz w:val="28"/>
          <w:szCs w:val="28"/>
        </w:rPr>
        <w:t>國家報告、性別平等政策綱領、性別主流化執行計畫</w:t>
      </w:r>
      <w:r w:rsidRPr="007532EC">
        <w:rPr>
          <w:rFonts w:ascii="標楷體" w:eastAsia="標楷體" w:hAnsi="標楷體" w:hint="eastAsia"/>
          <w:sz w:val="28"/>
          <w:szCs w:val="28"/>
        </w:rPr>
        <w:t>在政府採購業務之辦理情形</w:t>
      </w:r>
      <w:r w:rsidRPr="007532EC">
        <w:rPr>
          <w:rFonts w:ascii="標楷體" w:eastAsia="標楷體" w:hAnsi="標楷體"/>
          <w:sz w:val="28"/>
          <w:szCs w:val="28"/>
        </w:rPr>
        <w:t>)</w:t>
      </w:r>
      <w:r w:rsidRPr="007532EC">
        <w:rPr>
          <w:rFonts w:ascii="標楷體" w:eastAsia="標楷體" w:hAnsi="標楷體" w:hint="eastAsia"/>
          <w:sz w:val="28"/>
          <w:szCs w:val="28"/>
        </w:rPr>
        <w:t>。</w:t>
      </w:r>
    </w:p>
    <w:p w:rsidR="00514373" w:rsidRPr="007532EC" w:rsidRDefault="00514373" w:rsidP="007A0952">
      <w:pPr>
        <w:pStyle w:val="ListParagraph"/>
        <w:widowControl/>
        <w:numPr>
          <w:ilvl w:val="0"/>
          <w:numId w:val="12"/>
        </w:numPr>
        <w:snapToGrid w:val="0"/>
        <w:spacing w:line="500" w:lineRule="atLeast"/>
        <w:ind w:leftChars="0" w:left="993" w:hanging="709"/>
        <w:jc w:val="both"/>
        <w:rPr>
          <w:rFonts w:ascii="標楷體" w:eastAsia="標楷體" w:hAnsi="標楷體"/>
          <w:sz w:val="28"/>
          <w:szCs w:val="28"/>
        </w:rPr>
      </w:pPr>
      <w:r w:rsidRPr="007532EC">
        <w:rPr>
          <w:rFonts w:ascii="標楷體" w:eastAsia="標楷體" w:hAnsi="標楷體" w:hint="eastAsia"/>
          <w:sz w:val="28"/>
          <w:szCs w:val="28"/>
        </w:rPr>
        <w:t>女性企業參與政府採購之統計分析</w:t>
      </w:r>
    </w:p>
    <w:p w:rsidR="00514373" w:rsidRPr="007532EC" w:rsidRDefault="00514373" w:rsidP="007532EC">
      <w:pPr>
        <w:pStyle w:val="ListParagraph"/>
        <w:widowControl/>
        <w:snapToGrid w:val="0"/>
        <w:spacing w:line="500" w:lineRule="atLeast"/>
        <w:ind w:leftChars="400" w:left="1559" w:hangingChars="214" w:hanging="599"/>
        <w:jc w:val="both"/>
        <w:rPr>
          <w:rFonts w:ascii="標楷體" w:eastAsia="標楷體" w:hAnsi="標楷體"/>
          <w:sz w:val="28"/>
          <w:szCs w:val="28"/>
        </w:rPr>
      </w:pPr>
      <w:r w:rsidRPr="007532EC">
        <w:rPr>
          <w:rFonts w:ascii="標楷體" w:eastAsia="標楷體" w:hAnsi="標楷體"/>
          <w:sz w:val="28"/>
          <w:szCs w:val="28"/>
        </w:rPr>
        <w:t>(</w:t>
      </w:r>
      <w:r w:rsidRPr="007532EC">
        <w:rPr>
          <w:rFonts w:ascii="標楷體" w:eastAsia="標楷體" w:hAnsi="標楷體" w:hint="eastAsia"/>
          <w:sz w:val="28"/>
          <w:szCs w:val="28"/>
        </w:rPr>
        <w:t>一</w:t>
      </w:r>
      <w:r w:rsidRPr="007532EC">
        <w:rPr>
          <w:rFonts w:ascii="標楷體" w:eastAsia="標楷體" w:hAnsi="標楷體"/>
          <w:sz w:val="28"/>
          <w:szCs w:val="28"/>
        </w:rPr>
        <w:t>)</w:t>
      </w:r>
      <w:r w:rsidRPr="007532EC">
        <w:rPr>
          <w:rFonts w:ascii="標楷體" w:eastAsia="標楷體" w:hAnsi="標楷體" w:hint="eastAsia"/>
          <w:sz w:val="28"/>
          <w:szCs w:val="28"/>
        </w:rPr>
        <w:t>有關「女性企業參與政府採購是否應予保障」，此項議題曾歷經行政院婦女權益促進委員會</w:t>
      </w:r>
      <w:r w:rsidRPr="007532EC">
        <w:rPr>
          <w:rFonts w:ascii="標楷體" w:eastAsia="標楷體" w:hAnsi="標楷體"/>
          <w:sz w:val="28"/>
          <w:szCs w:val="28"/>
        </w:rPr>
        <w:t>(</w:t>
      </w:r>
      <w:r w:rsidRPr="007532EC">
        <w:rPr>
          <w:rFonts w:ascii="標楷體" w:eastAsia="標楷體" w:hAnsi="標楷體" w:hint="eastAsia"/>
          <w:sz w:val="28"/>
          <w:szCs w:val="28"/>
        </w:rPr>
        <w:t>簡稱婦權會</w:t>
      </w:r>
      <w:r w:rsidRPr="007532EC">
        <w:rPr>
          <w:rFonts w:ascii="標楷體" w:eastAsia="標楷體" w:hAnsi="標楷體"/>
          <w:sz w:val="28"/>
          <w:szCs w:val="28"/>
        </w:rPr>
        <w:t>)</w:t>
      </w:r>
      <w:r w:rsidRPr="007532EC">
        <w:rPr>
          <w:rFonts w:ascii="標楷體" w:eastAsia="標楷體" w:hAnsi="標楷體" w:hint="eastAsia"/>
          <w:sz w:val="28"/>
          <w:szCs w:val="28"/>
        </w:rPr>
        <w:t>第</w:t>
      </w:r>
      <w:r w:rsidRPr="007532EC">
        <w:rPr>
          <w:rFonts w:ascii="標楷體" w:eastAsia="標楷體" w:hAnsi="標楷體"/>
          <w:sz w:val="28"/>
          <w:szCs w:val="28"/>
        </w:rPr>
        <w:t>35</w:t>
      </w:r>
      <w:r w:rsidRPr="007532EC">
        <w:rPr>
          <w:rFonts w:ascii="標楷體" w:eastAsia="標楷體" w:hAnsi="標楷體" w:hint="eastAsia"/>
          <w:sz w:val="28"/>
          <w:szCs w:val="28"/>
        </w:rPr>
        <w:t>次至第</w:t>
      </w:r>
      <w:r w:rsidRPr="007532EC">
        <w:rPr>
          <w:rFonts w:ascii="標楷體" w:eastAsia="標楷體" w:hAnsi="標楷體"/>
          <w:sz w:val="28"/>
          <w:szCs w:val="28"/>
        </w:rPr>
        <w:t>37</w:t>
      </w:r>
      <w:r w:rsidRPr="007532EC">
        <w:rPr>
          <w:rFonts w:ascii="標楷體" w:eastAsia="標楷體" w:hAnsi="標楷體" w:hint="eastAsia"/>
          <w:sz w:val="28"/>
          <w:szCs w:val="28"/>
        </w:rPr>
        <w:t>次會議，並跨越行政院性別平等會</w:t>
      </w:r>
      <w:r w:rsidRPr="007532EC">
        <w:rPr>
          <w:rFonts w:ascii="標楷體" w:eastAsia="標楷體" w:hAnsi="標楷體"/>
          <w:sz w:val="28"/>
          <w:szCs w:val="28"/>
        </w:rPr>
        <w:t>(</w:t>
      </w:r>
      <w:r w:rsidRPr="007532EC">
        <w:rPr>
          <w:rFonts w:ascii="標楷體" w:eastAsia="標楷體" w:hAnsi="標楷體" w:hint="eastAsia"/>
          <w:sz w:val="28"/>
          <w:szCs w:val="28"/>
        </w:rPr>
        <w:t>簡稱性平會</w:t>
      </w:r>
      <w:r w:rsidRPr="007532EC">
        <w:rPr>
          <w:rFonts w:ascii="標楷體" w:eastAsia="標楷體" w:hAnsi="標楷體"/>
          <w:sz w:val="28"/>
          <w:szCs w:val="28"/>
        </w:rPr>
        <w:t>)</w:t>
      </w:r>
      <w:r w:rsidRPr="007532EC">
        <w:rPr>
          <w:rFonts w:ascii="標楷體" w:eastAsia="標楷體" w:hAnsi="標楷體" w:hint="eastAsia"/>
          <w:sz w:val="28"/>
          <w:szCs w:val="28"/>
        </w:rPr>
        <w:t>第</w:t>
      </w:r>
      <w:r w:rsidRPr="007532EC">
        <w:rPr>
          <w:rFonts w:ascii="標楷體" w:eastAsia="標楷體" w:hAnsi="標楷體"/>
          <w:sz w:val="28"/>
          <w:szCs w:val="28"/>
        </w:rPr>
        <w:t>1</w:t>
      </w:r>
      <w:r w:rsidRPr="007532EC">
        <w:rPr>
          <w:rFonts w:ascii="標楷體" w:eastAsia="標楷體" w:hAnsi="標楷體" w:hint="eastAsia"/>
          <w:sz w:val="28"/>
          <w:szCs w:val="28"/>
        </w:rPr>
        <w:t>次至第</w:t>
      </w:r>
      <w:r w:rsidRPr="007532EC">
        <w:rPr>
          <w:rFonts w:ascii="標楷體" w:eastAsia="標楷體" w:hAnsi="標楷體"/>
          <w:sz w:val="28"/>
          <w:szCs w:val="28"/>
        </w:rPr>
        <w:t>3</w:t>
      </w:r>
      <w:r w:rsidRPr="007532EC">
        <w:rPr>
          <w:rFonts w:ascii="標楷體" w:eastAsia="標楷體" w:hAnsi="標楷體" w:hint="eastAsia"/>
          <w:sz w:val="28"/>
          <w:szCs w:val="28"/>
        </w:rPr>
        <w:t>次會議，依</w:t>
      </w:r>
      <w:r w:rsidRPr="007532EC">
        <w:rPr>
          <w:rFonts w:ascii="標楷體" w:eastAsia="標楷體" w:hAnsi="標楷體"/>
          <w:sz w:val="28"/>
          <w:szCs w:val="28"/>
        </w:rPr>
        <w:t>102</w:t>
      </w:r>
      <w:r w:rsidRPr="007532EC">
        <w:rPr>
          <w:rFonts w:ascii="標楷體" w:eastAsia="標楷體" w:hAnsi="標楷體" w:hint="eastAsia"/>
          <w:sz w:val="28"/>
          <w:szCs w:val="28"/>
        </w:rPr>
        <w:t>年</w:t>
      </w:r>
      <w:r w:rsidRPr="007532EC">
        <w:rPr>
          <w:rFonts w:ascii="標楷體" w:eastAsia="標楷體" w:hAnsi="標楷體"/>
          <w:sz w:val="28"/>
          <w:szCs w:val="28"/>
        </w:rPr>
        <w:t>1</w:t>
      </w:r>
      <w:r w:rsidRPr="007532EC">
        <w:rPr>
          <w:rFonts w:ascii="標楷體" w:eastAsia="標楷體" w:hAnsi="標楷體" w:hint="eastAsia"/>
          <w:sz w:val="28"/>
          <w:szCs w:val="28"/>
        </w:rPr>
        <w:t>月</w:t>
      </w:r>
      <w:r w:rsidRPr="007532EC">
        <w:rPr>
          <w:rFonts w:ascii="標楷體" w:eastAsia="標楷體" w:hAnsi="標楷體"/>
          <w:sz w:val="28"/>
          <w:szCs w:val="28"/>
        </w:rPr>
        <w:t>11</w:t>
      </w:r>
      <w:r w:rsidRPr="007532EC">
        <w:rPr>
          <w:rFonts w:ascii="標楷體" w:eastAsia="標楷體" w:hAnsi="標楷體" w:hint="eastAsia"/>
          <w:sz w:val="28"/>
          <w:szCs w:val="28"/>
        </w:rPr>
        <w:t>日性平會第</w:t>
      </w:r>
      <w:r w:rsidRPr="007532EC">
        <w:rPr>
          <w:rFonts w:ascii="標楷體" w:eastAsia="標楷體" w:hAnsi="標楷體"/>
          <w:sz w:val="28"/>
          <w:szCs w:val="28"/>
        </w:rPr>
        <w:t>3</w:t>
      </w:r>
      <w:r w:rsidRPr="007532EC">
        <w:rPr>
          <w:rFonts w:ascii="標楷體" w:eastAsia="標楷體" w:hAnsi="標楷體" w:hint="eastAsia"/>
          <w:sz w:val="28"/>
          <w:szCs w:val="28"/>
        </w:rPr>
        <w:t>次會議決議略以：「一、女性中小企業剛完成定義</w:t>
      </w:r>
      <w:r w:rsidRPr="007532EC">
        <w:rPr>
          <w:rFonts w:ascii="標楷體" w:eastAsia="標楷體" w:hAnsi="標楷體"/>
          <w:sz w:val="28"/>
          <w:szCs w:val="28"/>
        </w:rPr>
        <w:t>(</w:t>
      </w:r>
      <w:r w:rsidRPr="007532EC">
        <w:rPr>
          <w:rFonts w:ascii="標楷體" w:eastAsia="標楷體" w:hAnsi="標楷體" w:hint="eastAsia"/>
          <w:sz w:val="28"/>
          <w:szCs w:val="28"/>
        </w:rPr>
        <w:t>草案</w:t>
      </w:r>
      <w:r w:rsidRPr="007532EC">
        <w:rPr>
          <w:rFonts w:ascii="標楷體" w:eastAsia="標楷體" w:hAnsi="標楷體"/>
          <w:sz w:val="28"/>
          <w:szCs w:val="28"/>
        </w:rPr>
        <w:t>)</w:t>
      </w:r>
      <w:r w:rsidRPr="007532EC">
        <w:rPr>
          <w:rFonts w:ascii="標楷體" w:eastAsia="標楷體" w:hAnsi="標楷體" w:hint="eastAsia"/>
          <w:sz w:val="28"/>
          <w:szCs w:val="28"/>
        </w:rPr>
        <w:t>，請蒐集統計資料，以瞭解在此定義下之女性中小企業概況。二、請經濟部加強培植女性中小企業參與政府採購能力，一方面配合法制作業之推動，一方面提升女性中小企業能力。」</w:t>
      </w:r>
    </w:p>
    <w:p w:rsidR="00514373" w:rsidRPr="007532EC" w:rsidRDefault="00514373" w:rsidP="007532EC">
      <w:pPr>
        <w:pStyle w:val="ListParagraph"/>
        <w:widowControl/>
        <w:snapToGrid w:val="0"/>
        <w:spacing w:line="500" w:lineRule="atLeast"/>
        <w:ind w:leftChars="400" w:left="1559" w:hangingChars="214" w:hanging="599"/>
        <w:jc w:val="both"/>
        <w:rPr>
          <w:rFonts w:ascii="標楷體" w:eastAsia="標楷體" w:hAnsi="標楷體"/>
          <w:sz w:val="28"/>
          <w:szCs w:val="28"/>
        </w:rPr>
      </w:pPr>
      <w:r w:rsidRPr="007532EC">
        <w:rPr>
          <w:rFonts w:ascii="標楷體" w:eastAsia="標楷體" w:hAnsi="標楷體"/>
          <w:sz w:val="28"/>
          <w:szCs w:val="28"/>
        </w:rPr>
        <w:t>(</w:t>
      </w:r>
      <w:r w:rsidRPr="007532EC">
        <w:rPr>
          <w:rFonts w:ascii="標楷體" w:eastAsia="標楷體" w:hAnsi="標楷體" w:hint="eastAsia"/>
          <w:sz w:val="28"/>
          <w:szCs w:val="28"/>
        </w:rPr>
        <w:t>二</w:t>
      </w:r>
      <w:r w:rsidRPr="007532EC">
        <w:rPr>
          <w:rFonts w:ascii="標楷體" w:eastAsia="標楷體" w:hAnsi="標楷體"/>
          <w:sz w:val="28"/>
          <w:szCs w:val="28"/>
        </w:rPr>
        <w:t>)</w:t>
      </w:r>
      <w:r w:rsidRPr="007532EC">
        <w:rPr>
          <w:rFonts w:ascii="標楷體" w:eastAsia="標楷體" w:hAnsi="標楷體" w:hint="eastAsia"/>
          <w:sz w:val="28"/>
          <w:szCs w:val="28"/>
        </w:rPr>
        <w:t>經濟部中小企業處於</w:t>
      </w:r>
      <w:r w:rsidRPr="007532EC">
        <w:rPr>
          <w:rFonts w:ascii="標楷體" w:eastAsia="標楷體" w:hAnsi="標楷體"/>
          <w:sz w:val="28"/>
          <w:szCs w:val="28"/>
        </w:rPr>
        <w:t>102</w:t>
      </w:r>
      <w:r w:rsidRPr="007532EC">
        <w:rPr>
          <w:rFonts w:ascii="標楷體" w:eastAsia="標楷體" w:hAnsi="標楷體" w:hint="eastAsia"/>
          <w:sz w:val="28"/>
          <w:szCs w:val="28"/>
        </w:rPr>
        <w:t>年</w:t>
      </w:r>
      <w:r w:rsidRPr="007532EC">
        <w:rPr>
          <w:rFonts w:ascii="標楷體" w:eastAsia="標楷體" w:hAnsi="標楷體"/>
          <w:sz w:val="28"/>
          <w:szCs w:val="28"/>
        </w:rPr>
        <w:t>2</w:t>
      </w:r>
      <w:r w:rsidRPr="007532EC">
        <w:rPr>
          <w:rFonts w:ascii="標楷體" w:eastAsia="標楷體" w:hAnsi="標楷體" w:hint="eastAsia"/>
          <w:sz w:val="28"/>
          <w:szCs w:val="28"/>
        </w:rPr>
        <w:t>月</w:t>
      </w:r>
      <w:r w:rsidRPr="007532EC">
        <w:rPr>
          <w:rFonts w:ascii="標楷體" w:eastAsia="標楷體" w:hAnsi="標楷體"/>
          <w:sz w:val="28"/>
          <w:szCs w:val="28"/>
        </w:rPr>
        <w:t>22</w:t>
      </w:r>
      <w:r w:rsidRPr="007532EC">
        <w:rPr>
          <w:rFonts w:ascii="標楷體" w:eastAsia="標楷體" w:hAnsi="標楷體" w:hint="eastAsia"/>
          <w:sz w:val="28"/>
          <w:szCs w:val="28"/>
        </w:rPr>
        <w:t>日召開「研商有關女性中小企業法制化作業事宜」會議，會中包括中華民國全國工業總會、工商協進會、青年創業協會等業界代表、台北大學教授、中華經濟研究院等學術界代表及性平會委員等均未支持即刻進行「女性中小企業」之法制化作業，建議再多蒐集累積相關評估資料，依該次會議決議：「應先透過持續辦理女性企業參與政府採購性別統計等方式，瞭解女性企業在參與政府採購上是否有困難或不平等的情形，後續才決定是否需要立法予以保障。準此，本案方向已經有共識，並將與性平委員保持意見聯繫。」嗣後，工程會配合經濟部辦理女性企業參與政府採購相關統計事宜。</w:t>
      </w:r>
    </w:p>
    <w:p w:rsidR="00514373" w:rsidRPr="007532EC" w:rsidRDefault="00514373" w:rsidP="007532EC">
      <w:pPr>
        <w:pStyle w:val="ListParagraph"/>
        <w:widowControl/>
        <w:snapToGrid w:val="0"/>
        <w:spacing w:line="500" w:lineRule="atLeast"/>
        <w:ind w:leftChars="400" w:left="1559" w:hangingChars="214" w:hanging="599"/>
        <w:jc w:val="both"/>
        <w:rPr>
          <w:rFonts w:ascii="標楷體" w:eastAsia="標楷體" w:hAnsi="標楷體"/>
          <w:sz w:val="28"/>
          <w:szCs w:val="28"/>
        </w:rPr>
      </w:pPr>
      <w:r w:rsidRPr="007532EC">
        <w:rPr>
          <w:rFonts w:ascii="標楷體" w:eastAsia="標楷體" w:hAnsi="標楷體"/>
          <w:sz w:val="28"/>
          <w:szCs w:val="28"/>
        </w:rPr>
        <w:t>(</w:t>
      </w:r>
      <w:r w:rsidRPr="007532EC">
        <w:rPr>
          <w:rFonts w:ascii="標楷體" w:eastAsia="標楷體" w:hAnsi="標楷體" w:hint="eastAsia"/>
          <w:sz w:val="28"/>
          <w:szCs w:val="28"/>
        </w:rPr>
        <w:t>三</w:t>
      </w:r>
      <w:r w:rsidRPr="007532EC">
        <w:rPr>
          <w:rFonts w:ascii="標楷體" w:eastAsia="標楷體" w:hAnsi="標楷體"/>
          <w:sz w:val="28"/>
          <w:szCs w:val="28"/>
        </w:rPr>
        <w:t>)</w:t>
      </w:r>
      <w:r w:rsidRPr="007532EC">
        <w:rPr>
          <w:rFonts w:ascii="標楷體" w:eastAsia="標楷體" w:hAnsi="標楷體" w:hint="eastAsia"/>
          <w:sz w:val="28"/>
          <w:szCs w:val="28"/>
        </w:rPr>
        <w:t>依據經濟部中小企業處</w:t>
      </w:r>
      <w:r w:rsidRPr="007532EC">
        <w:rPr>
          <w:rFonts w:ascii="標楷體" w:eastAsia="標楷體" w:hAnsi="標楷體"/>
          <w:sz w:val="28"/>
          <w:szCs w:val="28"/>
        </w:rPr>
        <w:t>102</w:t>
      </w:r>
      <w:r w:rsidRPr="007532EC">
        <w:rPr>
          <w:rFonts w:ascii="標楷體" w:eastAsia="標楷體" w:hAnsi="標楷體" w:hint="eastAsia"/>
          <w:sz w:val="28"/>
          <w:szCs w:val="28"/>
        </w:rPr>
        <w:t>年</w:t>
      </w:r>
      <w:r w:rsidRPr="007532EC">
        <w:rPr>
          <w:rFonts w:ascii="標楷體" w:eastAsia="標楷體" w:hAnsi="標楷體"/>
          <w:sz w:val="28"/>
          <w:szCs w:val="28"/>
        </w:rPr>
        <w:t>3</w:t>
      </w:r>
      <w:r w:rsidRPr="007532EC">
        <w:rPr>
          <w:rFonts w:ascii="標楷體" w:eastAsia="標楷體" w:hAnsi="標楷體" w:hint="eastAsia"/>
          <w:sz w:val="28"/>
          <w:szCs w:val="28"/>
        </w:rPr>
        <w:t>月</w:t>
      </w:r>
      <w:r w:rsidRPr="007532EC">
        <w:rPr>
          <w:rFonts w:ascii="標楷體" w:eastAsia="標楷體" w:hAnsi="標楷體"/>
          <w:sz w:val="28"/>
          <w:szCs w:val="28"/>
        </w:rPr>
        <w:t>22</w:t>
      </w:r>
      <w:r w:rsidRPr="007532EC">
        <w:rPr>
          <w:rFonts w:ascii="標楷體" w:eastAsia="標楷體" w:hAnsi="標楷體" w:hint="eastAsia"/>
          <w:sz w:val="28"/>
          <w:szCs w:val="28"/>
        </w:rPr>
        <w:t>日「研議辦理女性企業參與政府採購性別統計事宜」會議結論，有關「優先取得採購業務機會之女性中小企業」篩選條件，係指中小企業之法定代表人為女性，且該企業符合下列要件之一：一、女性持有股權或出資額須達二分之一以上；二、依法登記之負責人及關係人二分之一以上為女性。</w:t>
      </w:r>
    </w:p>
    <w:p w:rsidR="00514373" w:rsidRPr="007532EC" w:rsidRDefault="00514373" w:rsidP="007532EC">
      <w:pPr>
        <w:pStyle w:val="ListParagraph"/>
        <w:widowControl/>
        <w:snapToGrid w:val="0"/>
        <w:spacing w:line="500" w:lineRule="atLeast"/>
        <w:ind w:leftChars="400" w:left="1559" w:hangingChars="214" w:hanging="599"/>
        <w:jc w:val="both"/>
        <w:rPr>
          <w:rFonts w:ascii="標楷體" w:eastAsia="標楷體" w:hAnsi="標楷體"/>
          <w:sz w:val="28"/>
          <w:szCs w:val="28"/>
        </w:rPr>
      </w:pPr>
      <w:r w:rsidRPr="007532EC">
        <w:rPr>
          <w:rFonts w:ascii="標楷體" w:eastAsia="標楷體" w:hAnsi="標楷體"/>
          <w:sz w:val="28"/>
          <w:szCs w:val="28"/>
        </w:rPr>
        <w:t>(</w:t>
      </w:r>
      <w:r w:rsidRPr="007532EC">
        <w:rPr>
          <w:rFonts w:ascii="標楷體" w:eastAsia="標楷體" w:hAnsi="標楷體" w:hint="eastAsia"/>
          <w:sz w:val="28"/>
          <w:szCs w:val="28"/>
        </w:rPr>
        <w:t>四</w:t>
      </w:r>
      <w:r w:rsidRPr="007532EC">
        <w:rPr>
          <w:rFonts w:ascii="標楷體" w:eastAsia="標楷體" w:hAnsi="標楷體"/>
          <w:sz w:val="28"/>
          <w:szCs w:val="28"/>
        </w:rPr>
        <w:t>)</w:t>
      </w:r>
      <w:r w:rsidRPr="007532EC">
        <w:rPr>
          <w:rFonts w:ascii="標楷體" w:eastAsia="標楷體" w:hAnsi="標楷體" w:hint="eastAsia"/>
          <w:sz w:val="28"/>
          <w:szCs w:val="28"/>
        </w:rPr>
        <w:t>為進行女性企業參與政府採購之相關統計工作，工程會「政府電子採購網」自</w:t>
      </w:r>
      <w:r w:rsidRPr="007532EC">
        <w:rPr>
          <w:rFonts w:ascii="標楷體" w:eastAsia="標楷體" w:hAnsi="標楷體"/>
          <w:sz w:val="28"/>
          <w:szCs w:val="28"/>
        </w:rPr>
        <w:t>101</w:t>
      </w:r>
      <w:r w:rsidRPr="007532EC">
        <w:rPr>
          <w:rFonts w:ascii="標楷體" w:eastAsia="標楷體" w:hAnsi="標楷體" w:hint="eastAsia"/>
          <w:sz w:val="28"/>
          <w:szCs w:val="28"/>
        </w:rPr>
        <w:t>年</w:t>
      </w:r>
      <w:r w:rsidRPr="007532EC">
        <w:rPr>
          <w:rFonts w:ascii="標楷體" w:eastAsia="標楷體" w:hAnsi="標楷體"/>
          <w:sz w:val="28"/>
          <w:szCs w:val="28"/>
        </w:rPr>
        <w:t>6</w:t>
      </w:r>
      <w:r w:rsidRPr="007532EC">
        <w:rPr>
          <w:rFonts w:ascii="標楷體" w:eastAsia="標楷體" w:hAnsi="標楷體" w:hint="eastAsia"/>
          <w:sz w:val="28"/>
          <w:szCs w:val="28"/>
        </w:rPr>
        <w:t>月起與經濟部商業司「商工登記資料公示查詢系統」介接，取得得標廠商法定代表人性別之介接欄位，另自</w:t>
      </w:r>
      <w:r w:rsidRPr="007532EC">
        <w:rPr>
          <w:rFonts w:ascii="標楷體" w:eastAsia="標楷體" w:hAnsi="標楷體"/>
          <w:sz w:val="28"/>
          <w:szCs w:val="28"/>
        </w:rPr>
        <w:t>102</w:t>
      </w:r>
      <w:r w:rsidRPr="007532EC">
        <w:rPr>
          <w:rFonts w:ascii="標楷體" w:eastAsia="標楷體" w:hAnsi="標楷體" w:hint="eastAsia"/>
          <w:sz w:val="28"/>
          <w:szCs w:val="28"/>
        </w:rPr>
        <w:t>年</w:t>
      </w:r>
      <w:r w:rsidRPr="007532EC">
        <w:rPr>
          <w:rFonts w:ascii="標楷體" w:eastAsia="標楷體" w:hAnsi="標楷體"/>
          <w:sz w:val="28"/>
          <w:szCs w:val="28"/>
        </w:rPr>
        <w:t>5</w:t>
      </w:r>
      <w:r w:rsidRPr="007532EC">
        <w:rPr>
          <w:rFonts w:ascii="標楷體" w:eastAsia="標楷體" w:hAnsi="標楷體" w:hint="eastAsia"/>
          <w:sz w:val="28"/>
          <w:szCs w:val="28"/>
        </w:rPr>
        <w:t>月</w:t>
      </w:r>
      <w:r w:rsidRPr="007532EC">
        <w:rPr>
          <w:rFonts w:ascii="標楷體" w:eastAsia="標楷體" w:hAnsi="標楷體"/>
          <w:sz w:val="28"/>
          <w:szCs w:val="28"/>
        </w:rPr>
        <w:t>17</w:t>
      </w:r>
      <w:r w:rsidRPr="007532EC">
        <w:rPr>
          <w:rFonts w:ascii="標楷體" w:eastAsia="標楷體" w:hAnsi="標楷體" w:hint="eastAsia"/>
          <w:sz w:val="28"/>
          <w:szCs w:val="28"/>
        </w:rPr>
        <w:t>日起取得符合「優先取得採購業務機會之女性中小企業」之介接欄位，得據以進行該類女性中小企業之得標件數、金額及其比率之統計工作。</w:t>
      </w:r>
    </w:p>
    <w:p w:rsidR="00514373" w:rsidRPr="007532EC" w:rsidRDefault="00514373" w:rsidP="007532EC">
      <w:pPr>
        <w:pStyle w:val="ListParagraph"/>
        <w:widowControl/>
        <w:snapToGrid w:val="0"/>
        <w:spacing w:line="500" w:lineRule="atLeast"/>
        <w:ind w:leftChars="400" w:left="1559" w:hangingChars="214" w:hanging="599"/>
        <w:jc w:val="both"/>
        <w:rPr>
          <w:rFonts w:ascii="標楷體" w:eastAsia="標楷體" w:hAnsi="標楷體"/>
          <w:sz w:val="28"/>
          <w:szCs w:val="28"/>
        </w:rPr>
      </w:pPr>
      <w:r w:rsidRPr="007532EC">
        <w:rPr>
          <w:rFonts w:ascii="標楷體" w:eastAsia="標楷體" w:hAnsi="標楷體"/>
          <w:sz w:val="28"/>
          <w:szCs w:val="28"/>
        </w:rPr>
        <w:t>(</w:t>
      </w:r>
      <w:r w:rsidRPr="007532EC">
        <w:rPr>
          <w:rFonts w:ascii="標楷體" w:eastAsia="標楷體" w:hAnsi="標楷體" w:hint="eastAsia"/>
          <w:sz w:val="28"/>
          <w:szCs w:val="28"/>
        </w:rPr>
        <w:t>五</w:t>
      </w:r>
      <w:r w:rsidRPr="007532EC">
        <w:rPr>
          <w:rFonts w:ascii="標楷體" w:eastAsia="標楷體" w:hAnsi="標楷體"/>
          <w:sz w:val="28"/>
          <w:szCs w:val="28"/>
        </w:rPr>
        <w:t>)</w:t>
      </w:r>
      <w:r w:rsidRPr="007532EC">
        <w:rPr>
          <w:rFonts w:ascii="標楷體" w:eastAsia="標楷體" w:hAnsi="標楷體" w:hint="eastAsia"/>
          <w:sz w:val="28"/>
          <w:szCs w:val="28"/>
        </w:rPr>
        <w:t>各類女性企業參與政府採購得標情形</w:t>
      </w:r>
    </w:p>
    <w:p w:rsidR="00514373" w:rsidRPr="007532EC" w:rsidRDefault="00514373" w:rsidP="0005536B">
      <w:pPr>
        <w:pStyle w:val="ListParagraph"/>
        <w:widowControl/>
        <w:snapToGrid w:val="0"/>
        <w:spacing w:line="500" w:lineRule="atLeast"/>
        <w:ind w:leftChars="630" w:left="1512"/>
        <w:jc w:val="both"/>
        <w:rPr>
          <w:rFonts w:ascii="標楷體" w:eastAsia="標楷體" w:hAnsi="標楷體"/>
          <w:sz w:val="28"/>
          <w:szCs w:val="28"/>
        </w:rPr>
      </w:pPr>
      <w:r w:rsidRPr="007532EC">
        <w:rPr>
          <w:rFonts w:ascii="標楷體" w:eastAsia="標楷體" w:hAnsi="標楷體" w:hint="eastAsia"/>
          <w:sz w:val="28"/>
          <w:szCs w:val="28"/>
        </w:rPr>
        <w:t>依本會決標統計資料，依公司登記及商業登記之企業得標全部件數，</w:t>
      </w:r>
      <w:r w:rsidRPr="007532EC">
        <w:rPr>
          <w:rFonts w:ascii="標楷體" w:eastAsia="標楷體" w:hAnsi="標楷體"/>
          <w:sz w:val="28"/>
          <w:szCs w:val="28"/>
        </w:rPr>
        <w:t>102</w:t>
      </w:r>
      <w:r w:rsidRPr="007532EC">
        <w:rPr>
          <w:rFonts w:ascii="標楷體" w:eastAsia="標楷體" w:hAnsi="標楷體" w:hint="eastAsia"/>
          <w:sz w:val="28"/>
          <w:szCs w:val="28"/>
        </w:rPr>
        <w:t>年為</w:t>
      </w:r>
      <w:r w:rsidRPr="007532EC">
        <w:rPr>
          <w:rFonts w:ascii="標楷體" w:eastAsia="標楷體" w:hAnsi="標楷體"/>
          <w:sz w:val="28"/>
          <w:szCs w:val="28"/>
        </w:rPr>
        <w:t>146,050</w:t>
      </w:r>
      <w:r w:rsidRPr="007532EC">
        <w:rPr>
          <w:rFonts w:ascii="標楷體" w:eastAsia="標楷體" w:hAnsi="標楷體" w:hint="eastAsia"/>
          <w:sz w:val="28"/>
          <w:szCs w:val="28"/>
        </w:rPr>
        <w:t>件，</w:t>
      </w:r>
      <w:r w:rsidRPr="007532EC">
        <w:rPr>
          <w:rFonts w:ascii="標楷體" w:eastAsia="標楷體" w:hAnsi="標楷體"/>
          <w:sz w:val="28"/>
          <w:szCs w:val="28"/>
        </w:rPr>
        <w:t>103</w:t>
      </w:r>
      <w:r w:rsidRPr="007532EC">
        <w:rPr>
          <w:rFonts w:ascii="標楷體" w:eastAsia="標楷體" w:hAnsi="標楷體" w:hint="eastAsia"/>
          <w:sz w:val="28"/>
          <w:szCs w:val="28"/>
        </w:rPr>
        <w:t>年</w:t>
      </w:r>
      <w:r w:rsidRPr="007532EC">
        <w:rPr>
          <w:rFonts w:ascii="標楷體" w:eastAsia="標楷體" w:hAnsi="標楷體"/>
          <w:sz w:val="28"/>
          <w:szCs w:val="28"/>
        </w:rPr>
        <w:t>151,114</w:t>
      </w:r>
      <w:r w:rsidRPr="007532EC">
        <w:rPr>
          <w:rFonts w:ascii="標楷體" w:eastAsia="標楷體" w:hAnsi="標楷體" w:hint="eastAsia"/>
          <w:sz w:val="28"/>
          <w:szCs w:val="28"/>
        </w:rPr>
        <w:t>件；全部決標金額，</w:t>
      </w:r>
      <w:r w:rsidRPr="007532EC">
        <w:rPr>
          <w:rFonts w:ascii="標楷體" w:eastAsia="標楷體" w:hAnsi="標楷體"/>
          <w:sz w:val="28"/>
          <w:szCs w:val="28"/>
        </w:rPr>
        <w:t>102</w:t>
      </w:r>
      <w:r w:rsidRPr="007532EC">
        <w:rPr>
          <w:rFonts w:ascii="標楷體" w:eastAsia="標楷體" w:hAnsi="標楷體" w:hint="eastAsia"/>
          <w:sz w:val="28"/>
          <w:szCs w:val="28"/>
        </w:rPr>
        <w:t>年</w:t>
      </w:r>
      <w:r w:rsidRPr="007532EC">
        <w:rPr>
          <w:rFonts w:ascii="標楷體" w:eastAsia="標楷體" w:hAnsi="標楷體"/>
          <w:sz w:val="28"/>
          <w:szCs w:val="28"/>
        </w:rPr>
        <w:t>9,335</w:t>
      </w:r>
      <w:r w:rsidRPr="007532EC">
        <w:rPr>
          <w:rFonts w:ascii="標楷體" w:eastAsia="標楷體" w:hAnsi="標楷體" w:hint="eastAsia"/>
          <w:sz w:val="28"/>
          <w:szCs w:val="28"/>
        </w:rPr>
        <w:t>億元，</w:t>
      </w:r>
      <w:r w:rsidRPr="007532EC">
        <w:rPr>
          <w:rFonts w:ascii="標楷體" w:eastAsia="標楷體" w:hAnsi="標楷體"/>
          <w:sz w:val="28"/>
          <w:szCs w:val="28"/>
        </w:rPr>
        <w:t>103</w:t>
      </w:r>
      <w:r w:rsidRPr="007532EC">
        <w:rPr>
          <w:rFonts w:ascii="標楷體" w:eastAsia="標楷體" w:hAnsi="標楷體" w:hint="eastAsia"/>
          <w:sz w:val="28"/>
          <w:szCs w:val="28"/>
        </w:rPr>
        <w:t>年</w:t>
      </w:r>
      <w:r w:rsidRPr="007532EC">
        <w:rPr>
          <w:rFonts w:ascii="標楷體" w:eastAsia="標楷體" w:hAnsi="標楷體"/>
          <w:sz w:val="28"/>
          <w:szCs w:val="28"/>
        </w:rPr>
        <w:t>8,412</w:t>
      </w:r>
      <w:r w:rsidRPr="007532EC">
        <w:rPr>
          <w:rFonts w:ascii="標楷體" w:eastAsia="標楷體" w:hAnsi="標楷體" w:hint="eastAsia"/>
          <w:sz w:val="28"/>
          <w:szCs w:val="28"/>
        </w:rPr>
        <w:t>億元</w:t>
      </w:r>
      <w:r w:rsidRPr="007532EC">
        <w:rPr>
          <w:rFonts w:ascii="標楷體" w:eastAsia="標楷體" w:hAnsi="標楷體"/>
          <w:sz w:val="28"/>
          <w:szCs w:val="28"/>
        </w:rPr>
        <w:t>(</w:t>
      </w:r>
      <w:r w:rsidRPr="007532EC">
        <w:rPr>
          <w:rFonts w:ascii="標楷體" w:eastAsia="標楷體" w:hAnsi="標楷體" w:hint="eastAsia"/>
          <w:sz w:val="28"/>
          <w:szCs w:val="28"/>
        </w:rPr>
        <w:t>詳表</w:t>
      </w:r>
      <w:r w:rsidRPr="007532EC">
        <w:rPr>
          <w:rFonts w:ascii="標楷體" w:eastAsia="標楷體" w:hAnsi="標楷體"/>
          <w:sz w:val="28"/>
          <w:szCs w:val="28"/>
        </w:rPr>
        <w:t>1)</w:t>
      </w:r>
      <w:r w:rsidRPr="007532EC">
        <w:rPr>
          <w:rFonts w:ascii="標楷體" w:eastAsia="標楷體" w:hAnsi="標楷體" w:hint="eastAsia"/>
          <w:sz w:val="28"/>
          <w:szCs w:val="28"/>
        </w:rPr>
        <w:t>，其中：</w:t>
      </w:r>
    </w:p>
    <w:p w:rsidR="00514373" w:rsidRPr="007532EC" w:rsidRDefault="00514373" w:rsidP="007532EC">
      <w:pPr>
        <w:pStyle w:val="ListParagraph"/>
        <w:widowControl/>
        <w:snapToGrid w:val="0"/>
        <w:spacing w:line="500" w:lineRule="atLeast"/>
        <w:ind w:leftChars="649" w:left="1916" w:hangingChars="128" w:hanging="358"/>
        <w:jc w:val="both"/>
        <w:rPr>
          <w:rFonts w:ascii="標楷體" w:eastAsia="標楷體" w:hAnsi="標楷體"/>
          <w:sz w:val="28"/>
          <w:szCs w:val="28"/>
        </w:rPr>
      </w:pPr>
      <w:r w:rsidRPr="007532EC">
        <w:rPr>
          <w:rFonts w:ascii="標楷體" w:eastAsia="標楷體" w:hAnsi="標楷體"/>
          <w:sz w:val="28"/>
          <w:szCs w:val="28"/>
        </w:rPr>
        <w:t>1.</w:t>
      </w:r>
      <w:r w:rsidRPr="007532EC">
        <w:rPr>
          <w:rFonts w:ascii="標楷體" w:eastAsia="標楷體" w:hAnsi="標楷體" w:hint="eastAsia"/>
          <w:sz w:val="28"/>
          <w:szCs w:val="28"/>
        </w:rPr>
        <w:t>「女性企業」參與政府採購情形：指法定代表人為女性之廠商得標件數，</w:t>
      </w:r>
      <w:r w:rsidRPr="007532EC">
        <w:rPr>
          <w:rFonts w:ascii="標楷體" w:eastAsia="標楷體" w:hAnsi="標楷體"/>
          <w:sz w:val="28"/>
          <w:szCs w:val="28"/>
        </w:rPr>
        <w:t>102</w:t>
      </w:r>
      <w:r w:rsidRPr="007532EC">
        <w:rPr>
          <w:rFonts w:ascii="標楷體" w:eastAsia="標楷體" w:hAnsi="標楷體" w:hint="eastAsia"/>
          <w:sz w:val="28"/>
          <w:szCs w:val="28"/>
        </w:rPr>
        <w:t>年為</w:t>
      </w:r>
      <w:r w:rsidRPr="007532EC">
        <w:rPr>
          <w:rFonts w:ascii="標楷體" w:eastAsia="標楷體" w:hAnsi="標楷體"/>
          <w:sz w:val="28"/>
          <w:szCs w:val="28"/>
        </w:rPr>
        <w:t>41,707</w:t>
      </w:r>
      <w:r w:rsidRPr="007532EC">
        <w:rPr>
          <w:rFonts w:ascii="標楷體" w:eastAsia="標楷體" w:hAnsi="標楷體" w:hint="eastAsia"/>
          <w:sz w:val="28"/>
          <w:szCs w:val="28"/>
        </w:rPr>
        <w:t>件</w:t>
      </w:r>
      <w:r w:rsidRPr="007532EC">
        <w:rPr>
          <w:rFonts w:ascii="標楷體" w:eastAsia="標楷體" w:hAnsi="標楷體"/>
          <w:sz w:val="28"/>
          <w:szCs w:val="28"/>
        </w:rPr>
        <w:t>(</w:t>
      </w:r>
      <w:r w:rsidRPr="007532EC">
        <w:rPr>
          <w:rFonts w:ascii="標楷體" w:eastAsia="標楷體" w:hAnsi="標楷體" w:hint="eastAsia"/>
          <w:sz w:val="28"/>
          <w:szCs w:val="28"/>
        </w:rPr>
        <w:t>占全部決標件數</w:t>
      </w:r>
      <w:r w:rsidRPr="007532EC">
        <w:rPr>
          <w:rFonts w:ascii="標楷體" w:eastAsia="標楷體" w:hAnsi="標楷體"/>
          <w:sz w:val="28"/>
          <w:szCs w:val="28"/>
        </w:rPr>
        <w:t>28.6%)</w:t>
      </w:r>
      <w:r w:rsidRPr="007532EC">
        <w:rPr>
          <w:rFonts w:ascii="標楷體" w:eastAsia="標楷體" w:hAnsi="標楷體" w:hint="eastAsia"/>
          <w:sz w:val="28"/>
          <w:szCs w:val="28"/>
        </w:rPr>
        <w:t>，</w:t>
      </w:r>
      <w:r w:rsidRPr="007532EC">
        <w:rPr>
          <w:rFonts w:ascii="標楷體" w:eastAsia="標楷體" w:hAnsi="標楷體"/>
          <w:sz w:val="28"/>
          <w:szCs w:val="28"/>
        </w:rPr>
        <w:t>103</w:t>
      </w:r>
      <w:r w:rsidRPr="007532EC">
        <w:rPr>
          <w:rFonts w:ascii="標楷體" w:eastAsia="標楷體" w:hAnsi="標楷體" w:hint="eastAsia"/>
          <w:sz w:val="28"/>
          <w:szCs w:val="28"/>
        </w:rPr>
        <w:t>年為</w:t>
      </w:r>
      <w:r w:rsidRPr="007532EC">
        <w:rPr>
          <w:rFonts w:ascii="標楷體" w:eastAsia="標楷體" w:hAnsi="標楷體"/>
          <w:sz w:val="28"/>
          <w:szCs w:val="28"/>
        </w:rPr>
        <w:t>43,440</w:t>
      </w:r>
      <w:r w:rsidRPr="007532EC">
        <w:rPr>
          <w:rFonts w:ascii="標楷體" w:eastAsia="標楷體" w:hAnsi="標楷體" w:hint="eastAsia"/>
          <w:sz w:val="28"/>
          <w:szCs w:val="28"/>
        </w:rPr>
        <w:t>件</w:t>
      </w:r>
      <w:r w:rsidRPr="007532EC">
        <w:rPr>
          <w:rFonts w:ascii="標楷體" w:eastAsia="標楷體" w:hAnsi="標楷體"/>
          <w:sz w:val="28"/>
          <w:szCs w:val="28"/>
        </w:rPr>
        <w:t>(</w:t>
      </w:r>
      <w:r w:rsidRPr="007532EC">
        <w:rPr>
          <w:rFonts w:ascii="標楷體" w:eastAsia="標楷體" w:hAnsi="標楷體" w:hint="eastAsia"/>
          <w:sz w:val="28"/>
          <w:szCs w:val="28"/>
        </w:rPr>
        <w:t>占全部決標件數</w:t>
      </w:r>
      <w:r w:rsidRPr="007532EC">
        <w:rPr>
          <w:rFonts w:ascii="標楷體" w:eastAsia="標楷體" w:hAnsi="標楷體"/>
          <w:sz w:val="28"/>
          <w:szCs w:val="28"/>
        </w:rPr>
        <w:t>28.8%)</w:t>
      </w:r>
      <w:r w:rsidRPr="007532EC">
        <w:rPr>
          <w:rFonts w:ascii="標楷體" w:eastAsia="標楷體" w:hAnsi="標楷體" w:hint="eastAsia"/>
          <w:sz w:val="28"/>
          <w:szCs w:val="28"/>
        </w:rPr>
        <w:t>，</w:t>
      </w:r>
      <w:r w:rsidRPr="007532EC">
        <w:rPr>
          <w:rFonts w:ascii="標楷體" w:eastAsia="標楷體" w:hAnsi="標楷體"/>
          <w:sz w:val="28"/>
          <w:szCs w:val="28"/>
        </w:rPr>
        <w:t>103</w:t>
      </w:r>
      <w:r w:rsidRPr="007532EC">
        <w:rPr>
          <w:rFonts w:ascii="標楷體" w:eastAsia="標楷體" w:hAnsi="標楷體" w:hint="eastAsia"/>
          <w:sz w:val="28"/>
          <w:szCs w:val="28"/>
        </w:rPr>
        <w:t>年較</w:t>
      </w:r>
      <w:r w:rsidRPr="007532EC">
        <w:rPr>
          <w:rFonts w:ascii="標楷體" w:eastAsia="標楷體" w:hAnsi="標楷體"/>
          <w:sz w:val="28"/>
          <w:szCs w:val="28"/>
        </w:rPr>
        <w:t>102</w:t>
      </w:r>
      <w:r w:rsidRPr="007532EC">
        <w:rPr>
          <w:rFonts w:ascii="標楷體" w:eastAsia="標楷體" w:hAnsi="標楷體" w:hint="eastAsia"/>
          <w:sz w:val="28"/>
          <w:szCs w:val="28"/>
        </w:rPr>
        <w:t>年提升</w:t>
      </w:r>
      <w:r w:rsidRPr="007532EC">
        <w:rPr>
          <w:rFonts w:ascii="標楷體" w:eastAsia="標楷體" w:hAnsi="標楷體"/>
          <w:sz w:val="28"/>
          <w:szCs w:val="28"/>
        </w:rPr>
        <w:t>0.2%</w:t>
      </w:r>
      <w:r w:rsidRPr="007532EC">
        <w:rPr>
          <w:rFonts w:ascii="標楷體" w:eastAsia="標楷體" w:hAnsi="標楷體" w:hint="eastAsia"/>
          <w:sz w:val="28"/>
          <w:szCs w:val="28"/>
        </w:rPr>
        <w:t>。在得標金額方面，</w:t>
      </w:r>
      <w:r w:rsidRPr="007532EC">
        <w:rPr>
          <w:rFonts w:ascii="標楷體" w:eastAsia="標楷體" w:hAnsi="標楷體"/>
          <w:sz w:val="28"/>
          <w:szCs w:val="28"/>
        </w:rPr>
        <w:t>102</w:t>
      </w:r>
      <w:r w:rsidRPr="007532EC">
        <w:rPr>
          <w:rFonts w:ascii="標楷體" w:eastAsia="標楷體" w:hAnsi="標楷體" w:hint="eastAsia"/>
          <w:sz w:val="28"/>
          <w:szCs w:val="28"/>
        </w:rPr>
        <w:t>年</w:t>
      </w:r>
      <w:r w:rsidRPr="007532EC">
        <w:rPr>
          <w:rFonts w:ascii="標楷體" w:eastAsia="標楷體" w:hAnsi="標楷體"/>
          <w:sz w:val="28"/>
          <w:szCs w:val="28"/>
        </w:rPr>
        <w:t>2,057</w:t>
      </w:r>
      <w:r w:rsidRPr="007532EC">
        <w:rPr>
          <w:rFonts w:ascii="標楷體" w:eastAsia="標楷體" w:hAnsi="標楷體" w:hint="eastAsia"/>
          <w:sz w:val="28"/>
          <w:szCs w:val="28"/>
        </w:rPr>
        <w:t>億元</w:t>
      </w:r>
      <w:r w:rsidRPr="007532EC">
        <w:rPr>
          <w:rFonts w:ascii="標楷體" w:eastAsia="標楷體" w:hAnsi="標楷體"/>
          <w:sz w:val="28"/>
          <w:szCs w:val="28"/>
        </w:rPr>
        <w:t>(</w:t>
      </w:r>
      <w:r w:rsidRPr="007532EC">
        <w:rPr>
          <w:rFonts w:ascii="標楷體" w:eastAsia="標楷體" w:hAnsi="標楷體" w:hint="eastAsia"/>
          <w:sz w:val="28"/>
          <w:szCs w:val="28"/>
        </w:rPr>
        <w:t>占全部決標金額</w:t>
      </w:r>
      <w:r w:rsidRPr="007532EC">
        <w:rPr>
          <w:rFonts w:ascii="標楷體" w:eastAsia="標楷體" w:hAnsi="標楷體"/>
          <w:sz w:val="28"/>
          <w:szCs w:val="28"/>
        </w:rPr>
        <w:t>22.0%)</w:t>
      </w:r>
      <w:r w:rsidRPr="007532EC">
        <w:rPr>
          <w:rFonts w:ascii="標楷體" w:eastAsia="標楷體" w:hAnsi="標楷體" w:hint="eastAsia"/>
          <w:sz w:val="28"/>
          <w:szCs w:val="28"/>
        </w:rPr>
        <w:t>，</w:t>
      </w:r>
      <w:r w:rsidRPr="007532EC">
        <w:rPr>
          <w:rFonts w:ascii="標楷體" w:eastAsia="標楷體" w:hAnsi="標楷體"/>
          <w:sz w:val="28"/>
          <w:szCs w:val="28"/>
        </w:rPr>
        <w:t>103</w:t>
      </w:r>
      <w:r w:rsidRPr="007532EC">
        <w:rPr>
          <w:rFonts w:ascii="標楷體" w:eastAsia="標楷體" w:hAnsi="標楷體" w:hint="eastAsia"/>
          <w:sz w:val="28"/>
          <w:szCs w:val="28"/>
        </w:rPr>
        <w:t>年</w:t>
      </w:r>
      <w:r w:rsidRPr="007532EC">
        <w:rPr>
          <w:rFonts w:ascii="標楷體" w:eastAsia="標楷體" w:hAnsi="標楷體"/>
          <w:sz w:val="28"/>
          <w:szCs w:val="28"/>
        </w:rPr>
        <w:t>1,888</w:t>
      </w:r>
      <w:r w:rsidRPr="007532EC">
        <w:rPr>
          <w:rFonts w:ascii="標楷體" w:eastAsia="標楷體" w:hAnsi="標楷體" w:hint="eastAsia"/>
          <w:sz w:val="28"/>
          <w:szCs w:val="28"/>
        </w:rPr>
        <w:t>億元</w:t>
      </w:r>
      <w:r w:rsidRPr="007532EC">
        <w:rPr>
          <w:rFonts w:ascii="標楷體" w:eastAsia="標楷體" w:hAnsi="標楷體"/>
          <w:sz w:val="28"/>
          <w:szCs w:val="28"/>
        </w:rPr>
        <w:t>(</w:t>
      </w:r>
      <w:r w:rsidRPr="007532EC">
        <w:rPr>
          <w:rFonts w:ascii="標楷體" w:eastAsia="標楷體" w:hAnsi="標楷體" w:hint="eastAsia"/>
          <w:sz w:val="28"/>
          <w:szCs w:val="28"/>
        </w:rPr>
        <w:t>占全部決標金額</w:t>
      </w:r>
      <w:r w:rsidRPr="007532EC">
        <w:rPr>
          <w:rFonts w:ascii="標楷體" w:eastAsia="標楷體" w:hAnsi="標楷體"/>
          <w:sz w:val="28"/>
          <w:szCs w:val="28"/>
        </w:rPr>
        <w:t>22.4%)</w:t>
      </w:r>
      <w:r w:rsidRPr="007532EC">
        <w:rPr>
          <w:rFonts w:ascii="標楷體" w:eastAsia="標楷體" w:hAnsi="標楷體" w:hint="eastAsia"/>
          <w:sz w:val="28"/>
          <w:szCs w:val="28"/>
        </w:rPr>
        <w:t>，</w:t>
      </w:r>
      <w:r w:rsidRPr="007532EC">
        <w:rPr>
          <w:rFonts w:ascii="標楷體" w:eastAsia="標楷體" w:hAnsi="標楷體"/>
          <w:sz w:val="28"/>
          <w:szCs w:val="28"/>
        </w:rPr>
        <w:t>103</w:t>
      </w:r>
      <w:r w:rsidRPr="007532EC">
        <w:rPr>
          <w:rFonts w:ascii="標楷體" w:eastAsia="標楷體" w:hAnsi="標楷體" w:hint="eastAsia"/>
          <w:sz w:val="28"/>
          <w:szCs w:val="28"/>
        </w:rPr>
        <w:t>年均較</w:t>
      </w:r>
      <w:r w:rsidRPr="007532EC">
        <w:rPr>
          <w:rFonts w:ascii="標楷體" w:eastAsia="標楷體" w:hAnsi="標楷體"/>
          <w:sz w:val="28"/>
          <w:szCs w:val="28"/>
        </w:rPr>
        <w:t>102</w:t>
      </w:r>
      <w:r w:rsidRPr="007532EC">
        <w:rPr>
          <w:rFonts w:ascii="標楷體" w:eastAsia="標楷體" w:hAnsi="標楷體" w:hint="eastAsia"/>
          <w:sz w:val="28"/>
          <w:szCs w:val="28"/>
        </w:rPr>
        <w:t>年提升</w:t>
      </w:r>
      <w:r w:rsidRPr="007532EC">
        <w:rPr>
          <w:rFonts w:ascii="標楷體" w:eastAsia="標楷體" w:hAnsi="標楷體"/>
          <w:sz w:val="28"/>
          <w:szCs w:val="28"/>
        </w:rPr>
        <w:t>0.4%</w:t>
      </w:r>
      <w:r w:rsidRPr="007532EC">
        <w:rPr>
          <w:rFonts w:ascii="標楷體" w:eastAsia="標楷體" w:hAnsi="標楷體" w:hint="eastAsia"/>
          <w:sz w:val="28"/>
          <w:szCs w:val="28"/>
        </w:rPr>
        <w:t>。</w:t>
      </w:r>
    </w:p>
    <w:p w:rsidR="00514373" w:rsidRPr="007532EC" w:rsidRDefault="00514373" w:rsidP="007532EC">
      <w:pPr>
        <w:pStyle w:val="ListParagraph"/>
        <w:widowControl/>
        <w:snapToGrid w:val="0"/>
        <w:spacing w:line="500" w:lineRule="atLeast"/>
        <w:ind w:leftChars="649" w:left="1916" w:hangingChars="128" w:hanging="358"/>
        <w:jc w:val="both"/>
        <w:rPr>
          <w:rFonts w:ascii="標楷體" w:eastAsia="標楷體" w:hAnsi="標楷體"/>
          <w:sz w:val="28"/>
          <w:szCs w:val="28"/>
        </w:rPr>
      </w:pPr>
      <w:r w:rsidRPr="007532EC">
        <w:rPr>
          <w:rFonts w:ascii="標楷體" w:eastAsia="標楷體" w:hAnsi="標楷體"/>
          <w:sz w:val="28"/>
          <w:szCs w:val="28"/>
        </w:rPr>
        <w:t>2.</w:t>
      </w:r>
      <w:r w:rsidRPr="007532EC">
        <w:rPr>
          <w:rFonts w:ascii="標楷體" w:eastAsia="標楷體" w:hAnsi="標楷體" w:hint="eastAsia"/>
          <w:sz w:val="28"/>
          <w:szCs w:val="28"/>
        </w:rPr>
        <w:t>「女性中小企業」參與政府採購情形：指法定代表人為女性之中小企業得標件數，</w:t>
      </w:r>
      <w:r w:rsidRPr="007532EC">
        <w:rPr>
          <w:rFonts w:ascii="標楷體" w:eastAsia="標楷體" w:hAnsi="標楷體"/>
          <w:sz w:val="28"/>
          <w:szCs w:val="28"/>
        </w:rPr>
        <w:t>102</w:t>
      </w:r>
      <w:r w:rsidRPr="007532EC">
        <w:rPr>
          <w:rFonts w:ascii="標楷體" w:eastAsia="標楷體" w:hAnsi="標楷體" w:hint="eastAsia"/>
          <w:sz w:val="28"/>
          <w:szCs w:val="28"/>
        </w:rPr>
        <w:t>年</w:t>
      </w:r>
      <w:r w:rsidRPr="007532EC">
        <w:rPr>
          <w:rFonts w:ascii="標楷體" w:eastAsia="標楷體" w:hAnsi="標楷體"/>
          <w:sz w:val="28"/>
          <w:szCs w:val="28"/>
        </w:rPr>
        <w:t>40,962</w:t>
      </w:r>
      <w:r w:rsidRPr="007532EC">
        <w:rPr>
          <w:rFonts w:ascii="標楷體" w:eastAsia="標楷體" w:hAnsi="標楷體" w:hint="eastAsia"/>
          <w:sz w:val="28"/>
          <w:szCs w:val="28"/>
        </w:rPr>
        <w:t>件</w:t>
      </w:r>
      <w:r w:rsidRPr="007532EC">
        <w:rPr>
          <w:rFonts w:ascii="標楷體" w:eastAsia="標楷體" w:hAnsi="標楷體"/>
          <w:sz w:val="28"/>
          <w:szCs w:val="28"/>
        </w:rPr>
        <w:t>(</w:t>
      </w:r>
      <w:r w:rsidRPr="007532EC">
        <w:rPr>
          <w:rFonts w:ascii="標楷體" w:eastAsia="標楷體" w:hAnsi="標楷體" w:hint="eastAsia"/>
          <w:sz w:val="28"/>
          <w:szCs w:val="28"/>
        </w:rPr>
        <w:t>占全部決標件數</w:t>
      </w:r>
      <w:r w:rsidRPr="007532EC">
        <w:rPr>
          <w:rFonts w:ascii="標楷體" w:eastAsia="標楷體" w:hAnsi="標楷體"/>
          <w:sz w:val="28"/>
          <w:szCs w:val="28"/>
        </w:rPr>
        <w:t>28.0%)</w:t>
      </w:r>
      <w:r w:rsidRPr="007532EC">
        <w:rPr>
          <w:rFonts w:ascii="標楷體" w:eastAsia="標楷體" w:hAnsi="標楷體" w:hint="eastAsia"/>
          <w:sz w:val="28"/>
          <w:szCs w:val="28"/>
        </w:rPr>
        <w:t>，</w:t>
      </w:r>
      <w:r w:rsidRPr="007532EC">
        <w:rPr>
          <w:rFonts w:ascii="標楷體" w:eastAsia="標楷體" w:hAnsi="標楷體"/>
          <w:sz w:val="28"/>
          <w:szCs w:val="28"/>
        </w:rPr>
        <w:t>103</w:t>
      </w:r>
      <w:r w:rsidRPr="007532EC">
        <w:rPr>
          <w:rFonts w:ascii="標楷體" w:eastAsia="標楷體" w:hAnsi="標楷體" w:hint="eastAsia"/>
          <w:sz w:val="28"/>
          <w:szCs w:val="28"/>
        </w:rPr>
        <w:t>年</w:t>
      </w:r>
      <w:r w:rsidRPr="007532EC">
        <w:rPr>
          <w:rFonts w:ascii="標楷體" w:eastAsia="標楷體" w:hAnsi="標楷體"/>
          <w:sz w:val="28"/>
          <w:szCs w:val="28"/>
        </w:rPr>
        <w:t>42,791(</w:t>
      </w:r>
      <w:r w:rsidRPr="007532EC">
        <w:rPr>
          <w:rFonts w:ascii="標楷體" w:eastAsia="標楷體" w:hAnsi="標楷體" w:hint="eastAsia"/>
          <w:sz w:val="28"/>
          <w:szCs w:val="28"/>
        </w:rPr>
        <w:t>占全部決標件數</w:t>
      </w:r>
      <w:r w:rsidRPr="007532EC">
        <w:rPr>
          <w:rFonts w:ascii="標楷體" w:eastAsia="標楷體" w:hAnsi="標楷體"/>
          <w:sz w:val="28"/>
          <w:szCs w:val="28"/>
        </w:rPr>
        <w:t>28.3%)</w:t>
      </w:r>
      <w:r w:rsidRPr="007532EC">
        <w:rPr>
          <w:rFonts w:ascii="標楷體" w:eastAsia="標楷體" w:hAnsi="標楷體" w:hint="eastAsia"/>
          <w:sz w:val="28"/>
          <w:szCs w:val="28"/>
        </w:rPr>
        <w:t>，</w:t>
      </w:r>
      <w:r w:rsidRPr="007532EC">
        <w:rPr>
          <w:rFonts w:ascii="標楷體" w:eastAsia="標楷體" w:hAnsi="標楷體"/>
          <w:sz w:val="28"/>
          <w:szCs w:val="28"/>
        </w:rPr>
        <w:t>103</w:t>
      </w:r>
      <w:r w:rsidRPr="007532EC">
        <w:rPr>
          <w:rFonts w:ascii="標楷體" w:eastAsia="標楷體" w:hAnsi="標楷體" w:hint="eastAsia"/>
          <w:sz w:val="28"/>
          <w:szCs w:val="28"/>
        </w:rPr>
        <w:t>年較</w:t>
      </w:r>
      <w:r w:rsidRPr="007532EC">
        <w:rPr>
          <w:rFonts w:ascii="標楷體" w:eastAsia="標楷體" w:hAnsi="標楷體"/>
          <w:sz w:val="28"/>
          <w:szCs w:val="28"/>
        </w:rPr>
        <w:t>102</w:t>
      </w:r>
      <w:r w:rsidRPr="007532EC">
        <w:rPr>
          <w:rFonts w:ascii="標楷體" w:eastAsia="標楷體" w:hAnsi="標楷體" w:hint="eastAsia"/>
          <w:sz w:val="28"/>
          <w:szCs w:val="28"/>
        </w:rPr>
        <w:t>年提升</w:t>
      </w:r>
      <w:r w:rsidRPr="007532EC">
        <w:rPr>
          <w:rFonts w:ascii="標楷體" w:eastAsia="標楷體" w:hAnsi="標楷體"/>
          <w:sz w:val="28"/>
          <w:szCs w:val="28"/>
        </w:rPr>
        <w:t>0.3%</w:t>
      </w:r>
      <w:r w:rsidRPr="007532EC">
        <w:rPr>
          <w:rFonts w:ascii="標楷體" w:eastAsia="標楷體" w:hAnsi="標楷體" w:hint="eastAsia"/>
          <w:sz w:val="28"/>
          <w:szCs w:val="28"/>
        </w:rPr>
        <w:t>。在得標金額方面，</w:t>
      </w:r>
      <w:r w:rsidRPr="007532EC">
        <w:rPr>
          <w:rFonts w:ascii="標楷體" w:eastAsia="標楷體" w:hAnsi="標楷體"/>
          <w:sz w:val="28"/>
          <w:szCs w:val="28"/>
        </w:rPr>
        <w:t>102</w:t>
      </w:r>
      <w:r w:rsidRPr="007532EC">
        <w:rPr>
          <w:rFonts w:ascii="標楷體" w:eastAsia="標楷體" w:hAnsi="標楷體" w:hint="eastAsia"/>
          <w:sz w:val="28"/>
          <w:szCs w:val="28"/>
        </w:rPr>
        <w:t>年得標金額</w:t>
      </w:r>
      <w:r w:rsidRPr="007532EC">
        <w:rPr>
          <w:rFonts w:ascii="標楷體" w:eastAsia="標楷體" w:hAnsi="標楷體"/>
          <w:sz w:val="28"/>
          <w:szCs w:val="28"/>
        </w:rPr>
        <w:t>1,912</w:t>
      </w:r>
      <w:r w:rsidRPr="007532EC">
        <w:rPr>
          <w:rFonts w:ascii="標楷體" w:eastAsia="標楷體" w:hAnsi="標楷體" w:hint="eastAsia"/>
          <w:sz w:val="28"/>
          <w:szCs w:val="28"/>
        </w:rPr>
        <w:t>億元</w:t>
      </w:r>
      <w:r w:rsidRPr="007532EC">
        <w:rPr>
          <w:rFonts w:ascii="標楷體" w:eastAsia="標楷體" w:hAnsi="標楷體"/>
          <w:sz w:val="28"/>
          <w:szCs w:val="28"/>
        </w:rPr>
        <w:t>(</w:t>
      </w:r>
      <w:r w:rsidRPr="007532EC">
        <w:rPr>
          <w:rFonts w:ascii="標楷體" w:eastAsia="標楷體" w:hAnsi="標楷體" w:hint="eastAsia"/>
          <w:sz w:val="28"/>
          <w:szCs w:val="28"/>
        </w:rPr>
        <w:t>全部決標金額</w:t>
      </w:r>
      <w:r w:rsidRPr="007532EC">
        <w:rPr>
          <w:rFonts w:ascii="標楷體" w:eastAsia="標楷體" w:hAnsi="標楷體"/>
          <w:sz w:val="28"/>
          <w:szCs w:val="28"/>
        </w:rPr>
        <w:t>20.5%)</w:t>
      </w:r>
      <w:r w:rsidRPr="007532EC">
        <w:rPr>
          <w:rFonts w:ascii="標楷體" w:eastAsia="標楷體" w:hAnsi="標楷體" w:hint="eastAsia"/>
          <w:sz w:val="28"/>
          <w:szCs w:val="28"/>
        </w:rPr>
        <w:t>，</w:t>
      </w:r>
      <w:r w:rsidRPr="007532EC">
        <w:rPr>
          <w:rFonts w:ascii="標楷體" w:eastAsia="標楷體" w:hAnsi="標楷體"/>
          <w:sz w:val="28"/>
          <w:szCs w:val="28"/>
        </w:rPr>
        <w:t>103</w:t>
      </w:r>
      <w:r w:rsidRPr="007532EC">
        <w:rPr>
          <w:rFonts w:ascii="標楷體" w:eastAsia="標楷體" w:hAnsi="標楷體" w:hint="eastAsia"/>
          <w:sz w:val="28"/>
          <w:szCs w:val="28"/>
        </w:rPr>
        <w:t>年得標金額</w:t>
      </w:r>
      <w:r w:rsidRPr="007532EC">
        <w:rPr>
          <w:rFonts w:ascii="標楷體" w:eastAsia="標楷體" w:hAnsi="標楷體"/>
          <w:sz w:val="28"/>
          <w:szCs w:val="28"/>
        </w:rPr>
        <w:t>1,770</w:t>
      </w:r>
      <w:r w:rsidRPr="007532EC">
        <w:rPr>
          <w:rFonts w:ascii="標楷體" w:eastAsia="標楷體" w:hAnsi="標楷體" w:hint="eastAsia"/>
          <w:sz w:val="28"/>
          <w:szCs w:val="28"/>
        </w:rPr>
        <w:t>億元</w:t>
      </w:r>
      <w:r w:rsidRPr="007532EC">
        <w:rPr>
          <w:rFonts w:ascii="標楷體" w:eastAsia="標楷體" w:hAnsi="標楷體"/>
          <w:sz w:val="28"/>
          <w:szCs w:val="28"/>
        </w:rPr>
        <w:t>(</w:t>
      </w:r>
      <w:r w:rsidRPr="007532EC">
        <w:rPr>
          <w:rFonts w:ascii="標楷體" w:eastAsia="標楷體" w:hAnsi="標楷體" w:hint="eastAsia"/>
          <w:sz w:val="28"/>
          <w:szCs w:val="28"/>
        </w:rPr>
        <w:t>約占全部決標總金額</w:t>
      </w:r>
      <w:r w:rsidRPr="007532EC">
        <w:rPr>
          <w:rFonts w:ascii="標楷體" w:eastAsia="標楷體" w:hAnsi="標楷體"/>
          <w:sz w:val="28"/>
          <w:szCs w:val="28"/>
        </w:rPr>
        <w:t>21.0%)</w:t>
      </w:r>
      <w:r w:rsidRPr="007532EC">
        <w:rPr>
          <w:rFonts w:ascii="標楷體" w:eastAsia="標楷體" w:hAnsi="標楷體" w:hint="eastAsia"/>
          <w:sz w:val="28"/>
          <w:szCs w:val="28"/>
        </w:rPr>
        <w:t>，</w:t>
      </w:r>
      <w:r w:rsidRPr="007532EC">
        <w:rPr>
          <w:rFonts w:ascii="標楷體" w:eastAsia="標楷體" w:hAnsi="標楷體"/>
          <w:sz w:val="28"/>
          <w:szCs w:val="28"/>
        </w:rPr>
        <w:t>103</w:t>
      </w:r>
      <w:r w:rsidRPr="007532EC">
        <w:rPr>
          <w:rFonts w:ascii="標楷體" w:eastAsia="標楷體" w:hAnsi="標楷體" w:hint="eastAsia"/>
          <w:sz w:val="28"/>
          <w:szCs w:val="28"/>
        </w:rPr>
        <w:t>年較</w:t>
      </w:r>
      <w:r w:rsidRPr="007532EC">
        <w:rPr>
          <w:rFonts w:ascii="標楷體" w:eastAsia="標楷體" w:hAnsi="標楷體"/>
          <w:sz w:val="28"/>
          <w:szCs w:val="28"/>
        </w:rPr>
        <w:t>102</w:t>
      </w:r>
      <w:r w:rsidRPr="007532EC">
        <w:rPr>
          <w:rFonts w:ascii="標楷體" w:eastAsia="標楷體" w:hAnsi="標楷體" w:hint="eastAsia"/>
          <w:sz w:val="28"/>
          <w:szCs w:val="28"/>
        </w:rPr>
        <w:t>年提升</w:t>
      </w:r>
      <w:r w:rsidRPr="007532EC">
        <w:rPr>
          <w:rFonts w:ascii="標楷體" w:eastAsia="標楷體" w:hAnsi="標楷體"/>
          <w:sz w:val="28"/>
          <w:szCs w:val="28"/>
        </w:rPr>
        <w:t>0.5%</w:t>
      </w:r>
      <w:r w:rsidRPr="007532EC">
        <w:rPr>
          <w:rFonts w:ascii="標楷體" w:eastAsia="標楷體" w:hAnsi="標楷體" w:hint="eastAsia"/>
          <w:sz w:val="28"/>
          <w:szCs w:val="28"/>
        </w:rPr>
        <w:t>。</w:t>
      </w:r>
    </w:p>
    <w:p w:rsidR="00514373" w:rsidRPr="007532EC" w:rsidRDefault="00514373" w:rsidP="007532EC">
      <w:pPr>
        <w:pStyle w:val="ListParagraph"/>
        <w:widowControl/>
        <w:snapToGrid w:val="0"/>
        <w:spacing w:line="500" w:lineRule="atLeast"/>
        <w:ind w:leftChars="649" w:left="1916" w:hangingChars="128" w:hanging="358"/>
        <w:jc w:val="both"/>
        <w:rPr>
          <w:rFonts w:ascii="標楷體" w:eastAsia="標楷體" w:hAnsi="標楷體"/>
          <w:sz w:val="28"/>
          <w:szCs w:val="28"/>
        </w:rPr>
      </w:pPr>
      <w:r w:rsidRPr="007532EC">
        <w:rPr>
          <w:rFonts w:ascii="標楷體" w:eastAsia="標楷體" w:hAnsi="標楷體"/>
          <w:sz w:val="28"/>
          <w:szCs w:val="28"/>
        </w:rPr>
        <w:t>3.</w:t>
      </w:r>
      <w:r w:rsidRPr="007532EC">
        <w:rPr>
          <w:rFonts w:ascii="標楷體" w:eastAsia="標楷體" w:hAnsi="標楷體" w:hint="eastAsia"/>
          <w:sz w:val="28"/>
          <w:szCs w:val="28"/>
        </w:rPr>
        <w:t>「優先取得採購業務機會之女性中小企業」參與政府採購情形：依經濟部中小企業處</w:t>
      </w:r>
      <w:r w:rsidRPr="007532EC">
        <w:rPr>
          <w:rFonts w:ascii="標楷體" w:eastAsia="標楷體" w:hAnsi="標楷體"/>
          <w:sz w:val="28"/>
          <w:szCs w:val="28"/>
        </w:rPr>
        <w:t>102</w:t>
      </w:r>
      <w:r w:rsidRPr="007532EC">
        <w:rPr>
          <w:rFonts w:ascii="標楷體" w:eastAsia="標楷體" w:hAnsi="標楷體" w:hint="eastAsia"/>
          <w:sz w:val="28"/>
          <w:szCs w:val="28"/>
        </w:rPr>
        <w:t>年</w:t>
      </w:r>
      <w:r w:rsidRPr="007532EC">
        <w:rPr>
          <w:rFonts w:ascii="標楷體" w:eastAsia="標楷體" w:hAnsi="標楷體"/>
          <w:sz w:val="28"/>
          <w:szCs w:val="28"/>
        </w:rPr>
        <w:t>3</w:t>
      </w:r>
      <w:r w:rsidRPr="007532EC">
        <w:rPr>
          <w:rFonts w:ascii="標楷體" w:eastAsia="標楷體" w:hAnsi="標楷體" w:hint="eastAsia"/>
          <w:sz w:val="28"/>
          <w:szCs w:val="28"/>
        </w:rPr>
        <w:t>月</w:t>
      </w:r>
      <w:r w:rsidRPr="007532EC">
        <w:rPr>
          <w:rFonts w:ascii="標楷體" w:eastAsia="標楷體" w:hAnsi="標楷體"/>
          <w:sz w:val="28"/>
          <w:szCs w:val="28"/>
        </w:rPr>
        <w:t>22</w:t>
      </w:r>
      <w:r w:rsidRPr="007532EC">
        <w:rPr>
          <w:rFonts w:ascii="標楷體" w:eastAsia="標楷體" w:hAnsi="標楷體" w:hint="eastAsia"/>
          <w:sz w:val="28"/>
          <w:szCs w:val="28"/>
        </w:rPr>
        <w:t>日「研議辦理女性企業參與政府採購性別統計事宜」會議結論，係指：中小企業之法定代表人為女性，且該企業符合下列要件之一：一、女性持有股權或出資額須達二分之一以上。二、依法登記之負責人及關係人二分之一以上為女性。「優先取得採購業務機會之女性中小企業」係自</w:t>
      </w:r>
      <w:r w:rsidRPr="007532EC">
        <w:rPr>
          <w:rFonts w:ascii="標楷體" w:eastAsia="標楷體" w:hAnsi="標楷體"/>
          <w:sz w:val="28"/>
          <w:szCs w:val="28"/>
        </w:rPr>
        <w:t>102</w:t>
      </w:r>
      <w:r w:rsidRPr="007532EC">
        <w:rPr>
          <w:rFonts w:ascii="標楷體" w:eastAsia="標楷體" w:hAnsi="標楷體" w:hint="eastAsia"/>
          <w:sz w:val="28"/>
          <w:szCs w:val="28"/>
        </w:rPr>
        <w:t>年</w:t>
      </w:r>
      <w:r w:rsidRPr="007532EC">
        <w:rPr>
          <w:rFonts w:ascii="標楷體" w:eastAsia="標楷體" w:hAnsi="標楷體"/>
          <w:sz w:val="28"/>
          <w:szCs w:val="28"/>
        </w:rPr>
        <w:t>5</w:t>
      </w:r>
      <w:r w:rsidRPr="007532EC">
        <w:rPr>
          <w:rFonts w:ascii="標楷體" w:eastAsia="標楷體" w:hAnsi="標楷體" w:hint="eastAsia"/>
          <w:sz w:val="28"/>
          <w:szCs w:val="28"/>
        </w:rPr>
        <w:t>月</w:t>
      </w:r>
      <w:r w:rsidRPr="007532EC">
        <w:rPr>
          <w:rFonts w:ascii="標楷體" w:eastAsia="標楷體" w:hAnsi="標楷體"/>
          <w:sz w:val="28"/>
          <w:szCs w:val="28"/>
        </w:rPr>
        <w:t>17</w:t>
      </w:r>
      <w:r w:rsidRPr="007532EC">
        <w:rPr>
          <w:rFonts w:ascii="標楷體" w:eastAsia="標楷體" w:hAnsi="標楷體" w:hint="eastAsia"/>
          <w:sz w:val="28"/>
          <w:szCs w:val="28"/>
        </w:rPr>
        <w:t>日取得介接欄位，爰無</w:t>
      </w:r>
      <w:r w:rsidRPr="007532EC">
        <w:rPr>
          <w:rFonts w:ascii="標楷體" w:eastAsia="標楷體" w:hAnsi="標楷體"/>
          <w:sz w:val="28"/>
          <w:szCs w:val="28"/>
        </w:rPr>
        <w:t>102</w:t>
      </w:r>
      <w:r w:rsidRPr="007532EC">
        <w:rPr>
          <w:rFonts w:ascii="標楷體" w:eastAsia="標楷體" w:hAnsi="標楷體" w:hint="eastAsia"/>
          <w:sz w:val="28"/>
          <w:szCs w:val="28"/>
        </w:rPr>
        <w:t>年全年統計資料。</w:t>
      </w:r>
      <w:r w:rsidRPr="007532EC">
        <w:rPr>
          <w:rFonts w:ascii="標楷體" w:eastAsia="標楷體" w:hAnsi="標楷體"/>
          <w:sz w:val="28"/>
          <w:szCs w:val="28"/>
        </w:rPr>
        <w:t>103</w:t>
      </w:r>
      <w:r w:rsidRPr="007532EC">
        <w:rPr>
          <w:rFonts w:ascii="標楷體" w:eastAsia="標楷體" w:hAnsi="標楷體" w:hint="eastAsia"/>
          <w:sz w:val="28"/>
          <w:szCs w:val="28"/>
        </w:rPr>
        <w:t>年符合「優先取得採購業務機會之女性中小企業」之得標件數</w:t>
      </w:r>
      <w:r w:rsidRPr="007532EC">
        <w:rPr>
          <w:rFonts w:ascii="標楷體" w:eastAsia="標楷體" w:hAnsi="標楷體"/>
          <w:sz w:val="28"/>
          <w:szCs w:val="28"/>
        </w:rPr>
        <w:t>34,549</w:t>
      </w:r>
      <w:r w:rsidRPr="007532EC">
        <w:rPr>
          <w:rFonts w:ascii="標楷體" w:eastAsia="標楷體" w:hAnsi="標楷體" w:hint="eastAsia"/>
          <w:sz w:val="28"/>
          <w:szCs w:val="28"/>
        </w:rPr>
        <w:t>件</w:t>
      </w:r>
      <w:r w:rsidRPr="007532EC">
        <w:rPr>
          <w:rFonts w:ascii="標楷體" w:eastAsia="標楷體" w:hAnsi="標楷體"/>
          <w:sz w:val="28"/>
          <w:szCs w:val="28"/>
        </w:rPr>
        <w:t>(</w:t>
      </w:r>
      <w:r w:rsidRPr="007532EC">
        <w:rPr>
          <w:rFonts w:ascii="標楷體" w:eastAsia="標楷體" w:hAnsi="標楷體" w:hint="eastAsia"/>
          <w:sz w:val="28"/>
          <w:szCs w:val="28"/>
        </w:rPr>
        <w:t>占總決標件數之</w:t>
      </w:r>
      <w:r w:rsidRPr="007532EC">
        <w:rPr>
          <w:rFonts w:ascii="標楷體" w:eastAsia="標楷體" w:hAnsi="標楷體"/>
          <w:sz w:val="28"/>
          <w:szCs w:val="28"/>
        </w:rPr>
        <w:t>22.9%)</w:t>
      </w:r>
      <w:r w:rsidRPr="007532EC">
        <w:rPr>
          <w:rFonts w:ascii="標楷體" w:eastAsia="標楷體" w:hAnsi="標楷體" w:hint="eastAsia"/>
          <w:sz w:val="28"/>
          <w:szCs w:val="28"/>
        </w:rPr>
        <w:t>；得標金額約</w:t>
      </w:r>
      <w:r w:rsidRPr="007532EC">
        <w:rPr>
          <w:rFonts w:ascii="標楷體" w:eastAsia="標楷體" w:hAnsi="標楷體"/>
          <w:sz w:val="28"/>
          <w:szCs w:val="28"/>
        </w:rPr>
        <w:t>1,179</w:t>
      </w:r>
      <w:r w:rsidRPr="007532EC">
        <w:rPr>
          <w:rFonts w:ascii="標楷體" w:eastAsia="標楷體" w:hAnsi="標楷體" w:hint="eastAsia"/>
          <w:sz w:val="28"/>
          <w:szCs w:val="28"/>
        </w:rPr>
        <w:t>億元</w:t>
      </w:r>
      <w:r w:rsidRPr="007532EC">
        <w:rPr>
          <w:rFonts w:ascii="標楷體" w:eastAsia="標楷體" w:hAnsi="標楷體"/>
          <w:sz w:val="28"/>
          <w:szCs w:val="28"/>
        </w:rPr>
        <w:t>(</w:t>
      </w:r>
      <w:r w:rsidRPr="007532EC">
        <w:rPr>
          <w:rFonts w:ascii="標楷體" w:eastAsia="標楷體" w:hAnsi="標楷體" w:hint="eastAsia"/>
          <w:sz w:val="28"/>
          <w:szCs w:val="28"/>
        </w:rPr>
        <w:t>占總決標金額之</w:t>
      </w:r>
      <w:r w:rsidRPr="007532EC">
        <w:rPr>
          <w:rFonts w:ascii="標楷體" w:eastAsia="標楷體" w:hAnsi="標楷體"/>
          <w:sz w:val="28"/>
          <w:szCs w:val="28"/>
        </w:rPr>
        <w:t>14.0%)</w:t>
      </w:r>
      <w:r w:rsidRPr="007532EC">
        <w:rPr>
          <w:rFonts w:ascii="標楷體" w:eastAsia="標楷體" w:hAnsi="標楷體" w:hint="eastAsia"/>
          <w:sz w:val="28"/>
          <w:szCs w:val="28"/>
        </w:rPr>
        <w:t>。「優先取得採購業務機會之女性中小企業」相較於女性中小企業得標件數之比率差距</w:t>
      </w:r>
      <w:r w:rsidRPr="007532EC">
        <w:rPr>
          <w:rFonts w:ascii="標楷體" w:eastAsia="標楷體" w:hAnsi="標楷體"/>
          <w:sz w:val="28"/>
          <w:szCs w:val="28"/>
        </w:rPr>
        <w:t>5.4%</w:t>
      </w:r>
      <w:r w:rsidRPr="007532EC">
        <w:rPr>
          <w:rFonts w:ascii="標楷體" w:eastAsia="標楷體" w:hAnsi="標楷體" w:hint="eastAsia"/>
          <w:sz w:val="28"/>
          <w:szCs w:val="28"/>
        </w:rPr>
        <w:t>，得標金額之比率差距</w:t>
      </w:r>
      <w:r w:rsidRPr="007532EC">
        <w:rPr>
          <w:rFonts w:ascii="標楷體" w:eastAsia="標楷體" w:hAnsi="標楷體"/>
          <w:sz w:val="28"/>
          <w:szCs w:val="28"/>
        </w:rPr>
        <w:t>7.0%</w:t>
      </w:r>
      <w:r w:rsidRPr="007532EC">
        <w:rPr>
          <w:rFonts w:ascii="標楷體" w:eastAsia="標楷體" w:hAnsi="標楷體" w:hint="eastAsia"/>
          <w:sz w:val="28"/>
          <w:szCs w:val="28"/>
        </w:rPr>
        <w:t>。</w:t>
      </w:r>
    </w:p>
    <w:p w:rsidR="00514373" w:rsidRPr="007532EC" w:rsidRDefault="00514373" w:rsidP="007532EC">
      <w:pPr>
        <w:pStyle w:val="ListParagraph"/>
        <w:widowControl/>
        <w:snapToGrid w:val="0"/>
        <w:spacing w:afterLines="50" w:line="500" w:lineRule="atLeast"/>
        <w:ind w:leftChars="649" w:left="1916" w:hangingChars="128" w:hanging="358"/>
        <w:jc w:val="both"/>
        <w:rPr>
          <w:rFonts w:ascii="標楷體" w:eastAsia="標楷體" w:hAnsi="標楷體"/>
          <w:sz w:val="28"/>
          <w:szCs w:val="28"/>
        </w:rPr>
      </w:pPr>
      <w:r w:rsidRPr="007532EC">
        <w:rPr>
          <w:rFonts w:ascii="標楷體" w:eastAsia="標楷體" w:hAnsi="標楷體"/>
          <w:sz w:val="28"/>
          <w:szCs w:val="28"/>
        </w:rPr>
        <w:t>4.</w:t>
      </w:r>
      <w:r w:rsidRPr="007532EC">
        <w:rPr>
          <w:rFonts w:ascii="標楷體" w:eastAsia="標楷體" w:hAnsi="標楷體" w:hint="eastAsia"/>
          <w:sz w:val="28"/>
          <w:szCs w:val="28"/>
        </w:rPr>
        <w:t>「女性原住民廠商」參與政府採購情形：依本會決標統計資料</w:t>
      </w:r>
      <w:r w:rsidRPr="007532EC">
        <w:rPr>
          <w:rFonts w:ascii="標楷體" w:eastAsia="標楷體" w:hAnsi="標楷體"/>
          <w:sz w:val="28"/>
          <w:szCs w:val="28"/>
        </w:rPr>
        <w:t>(</w:t>
      </w:r>
      <w:r w:rsidRPr="007532EC">
        <w:rPr>
          <w:rFonts w:ascii="標楷體" w:eastAsia="標楷體" w:hAnsi="標楷體" w:hint="eastAsia"/>
          <w:sz w:val="28"/>
          <w:szCs w:val="28"/>
        </w:rPr>
        <w:t>詳表</w:t>
      </w:r>
      <w:r w:rsidRPr="007532EC">
        <w:rPr>
          <w:rFonts w:ascii="標楷體" w:eastAsia="標楷體" w:hAnsi="標楷體"/>
          <w:sz w:val="28"/>
          <w:szCs w:val="28"/>
        </w:rPr>
        <w:t>2)</w:t>
      </w:r>
      <w:r w:rsidRPr="007532EC">
        <w:rPr>
          <w:rFonts w:ascii="標楷體" w:eastAsia="標楷體" w:hAnsi="標楷體" w:hint="eastAsia"/>
          <w:sz w:val="28"/>
          <w:szCs w:val="28"/>
        </w:rPr>
        <w:t>，原住民廠商總得標件數，</w:t>
      </w:r>
      <w:r w:rsidRPr="007532EC">
        <w:rPr>
          <w:rFonts w:ascii="標楷體" w:eastAsia="標楷體" w:hAnsi="標楷體"/>
          <w:sz w:val="28"/>
          <w:szCs w:val="28"/>
        </w:rPr>
        <w:t>102</w:t>
      </w:r>
      <w:r w:rsidRPr="007532EC">
        <w:rPr>
          <w:rFonts w:ascii="標楷體" w:eastAsia="標楷體" w:hAnsi="標楷體" w:hint="eastAsia"/>
          <w:sz w:val="28"/>
          <w:szCs w:val="28"/>
        </w:rPr>
        <w:t>年為</w:t>
      </w:r>
      <w:r w:rsidRPr="007532EC">
        <w:rPr>
          <w:rFonts w:ascii="標楷體" w:eastAsia="標楷體" w:hAnsi="標楷體"/>
          <w:sz w:val="28"/>
          <w:szCs w:val="28"/>
        </w:rPr>
        <w:t>1,577</w:t>
      </w:r>
      <w:r w:rsidRPr="007532EC">
        <w:rPr>
          <w:rFonts w:ascii="標楷體" w:eastAsia="標楷體" w:hAnsi="標楷體" w:hint="eastAsia"/>
          <w:sz w:val="28"/>
          <w:szCs w:val="28"/>
        </w:rPr>
        <w:t>件，</w:t>
      </w:r>
      <w:r w:rsidRPr="007532EC">
        <w:rPr>
          <w:rFonts w:ascii="標楷體" w:eastAsia="標楷體" w:hAnsi="標楷體"/>
          <w:sz w:val="28"/>
          <w:szCs w:val="28"/>
        </w:rPr>
        <w:t>103</w:t>
      </w:r>
      <w:r w:rsidRPr="007532EC">
        <w:rPr>
          <w:rFonts w:ascii="標楷體" w:eastAsia="標楷體" w:hAnsi="標楷體" w:hint="eastAsia"/>
          <w:sz w:val="28"/>
          <w:szCs w:val="28"/>
        </w:rPr>
        <w:t>年為</w:t>
      </w:r>
      <w:r w:rsidRPr="007532EC">
        <w:rPr>
          <w:rFonts w:ascii="標楷體" w:eastAsia="標楷體" w:hAnsi="標楷體"/>
          <w:sz w:val="28"/>
          <w:szCs w:val="28"/>
        </w:rPr>
        <w:t>1,483</w:t>
      </w:r>
      <w:r w:rsidRPr="007532EC">
        <w:rPr>
          <w:rFonts w:ascii="標楷體" w:eastAsia="標楷體" w:hAnsi="標楷體" w:hint="eastAsia"/>
          <w:sz w:val="28"/>
          <w:szCs w:val="28"/>
        </w:rPr>
        <w:t>件，其中女性原住民廠商得標件數，</w:t>
      </w:r>
      <w:r w:rsidRPr="007532EC">
        <w:rPr>
          <w:rFonts w:ascii="標楷體" w:eastAsia="標楷體" w:hAnsi="標楷體"/>
          <w:sz w:val="28"/>
          <w:szCs w:val="28"/>
        </w:rPr>
        <w:t>102</w:t>
      </w:r>
      <w:r w:rsidRPr="007532EC">
        <w:rPr>
          <w:rFonts w:ascii="標楷體" w:eastAsia="標楷體" w:hAnsi="標楷體" w:hint="eastAsia"/>
          <w:sz w:val="28"/>
          <w:szCs w:val="28"/>
        </w:rPr>
        <w:t>年為</w:t>
      </w:r>
      <w:r w:rsidRPr="007532EC">
        <w:rPr>
          <w:rFonts w:ascii="標楷體" w:eastAsia="標楷體" w:hAnsi="標楷體"/>
          <w:sz w:val="28"/>
          <w:szCs w:val="28"/>
        </w:rPr>
        <w:t>788</w:t>
      </w:r>
      <w:r w:rsidRPr="007532EC">
        <w:rPr>
          <w:rFonts w:ascii="標楷體" w:eastAsia="標楷體" w:hAnsi="標楷體" w:hint="eastAsia"/>
          <w:sz w:val="28"/>
          <w:szCs w:val="28"/>
        </w:rPr>
        <w:t>件</w:t>
      </w:r>
      <w:r w:rsidRPr="007532EC">
        <w:rPr>
          <w:rFonts w:ascii="標楷體" w:eastAsia="標楷體" w:hAnsi="標楷體"/>
          <w:sz w:val="28"/>
          <w:szCs w:val="28"/>
        </w:rPr>
        <w:t>(</w:t>
      </w:r>
      <w:r w:rsidRPr="007532EC">
        <w:rPr>
          <w:rFonts w:ascii="標楷體" w:eastAsia="標楷體" w:hAnsi="標楷體" w:hint="eastAsia"/>
          <w:sz w:val="28"/>
          <w:szCs w:val="28"/>
        </w:rPr>
        <w:t>占該年度總決標件數</w:t>
      </w:r>
      <w:r w:rsidRPr="007532EC">
        <w:rPr>
          <w:rFonts w:ascii="標楷體" w:eastAsia="標楷體" w:hAnsi="標楷體"/>
          <w:sz w:val="28"/>
          <w:szCs w:val="28"/>
        </w:rPr>
        <w:t>50.0%)</w:t>
      </w:r>
      <w:r w:rsidRPr="007532EC">
        <w:rPr>
          <w:rFonts w:ascii="標楷體" w:eastAsia="標楷體" w:hAnsi="標楷體" w:hint="eastAsia"/>
          <w:sz w:val="28"/>
          <w:szCs w:val="28"/>
        </w:rPr>
        <w:t>，</w:t>
      </w:r>
      <w:r w:rsidRPr="007532EC">
        <w:rPr>
          <w:rFonts w:ascii="標楷體" w:eastAsia="標楷體" w:hAnsi="標楷體"/>
          <w:sz w:val="28"/>
          <w:szCs w:val="28"/>
        </w:rPr>
        <w:t>103</w:t>
      </w:r>
      <w:r w:rsidRPr="007532EC">
        <w:rPr>
          <w:rFonts w:ascii="標楷體" w:eastAsia="標楷體" w:hAnsi="標楷體" w:hint="eastAsia"/>
          <w:sz w:val="28"/>
          <w:szCs w:val="28"/>
        </w:rPr>
        <w:t>年為</w:t>
      </w:r>
      <w:r w:rsidRPr="007532EC">
        <w:rPr>
          <w:rFonts w:ascii="標楷體" w:eastAsia="標楷體" w:hAnsi="標楷體"/>
          <w:sz w:val="28"/>
          <w:szCs w:val="28"/>
        </w:rPr>
        <w:t>710</w:t>
      </w:r>
      <w:r w:rsidRPr="007532EC">
        <w:rPr>
          <w:rFonts w:ascii="標楷體" w:eastAsia="標楷體" w:hAnsi="標楷體" w:hint="eastAsia"/>
          <w:sz w:val="28"/>
          <w:szCs w:val="28"/>
        </w:rPr>
        <w:t>件</w:t>
      </w:r>
      <w:r w:rsidRPr="007532EC">
        <w:rPr>
          <w:rFonts w:ascii="標楷體" w:eastAsia="標楷體" w:hAnsi="標楷體"/>
          <w:sz w:val="28"/>
          <w:szCs w:val="28"/>
        </w:rPr>
        <w:t>(</w:t>
      </w:r>
      <w:r w:rsidRPr="007532EC">
        <w:rPr>
          <w:rFonts w:ascii="標楷體" w:eastAsia="標楷體" w:hAnsi="標楷體" w:hint="eastAsia"/>
          <w:sz w:val="28"/>
          <w:szCs w:val="28"/>
        </w:rPr>
        <w:t>占該年度總決標件數</w:t>
      </w:r>
      <w:r w:rsidRPr="007532EC">
        <w:rPr>
          <w:rFonts w:ascii="標楷體" w:eastAsia="標楷體" w:hAnsi="標楷體"/>
          <w:sz w:val="28"/>
          <w:szCs w:val="28"/>
        </w:rPr>
        <w:t>47.9%)</w:t>
      </w:r>
      <w:r w:rsidRPr="007532EC">
        <w:rPr>
          <w:rFonts w:ascii="標楷體" w:eastAsia="標楷體" w:hAnsi="標楷體" w:hint="eastAsia"/>
          <w:sz w:val="28"/>
          <w:szCs w:val="28"/>
        </w:rPr>
        <w:t>；原住民廠商總得標金額，</w:t>
      </w:r>
      <w:r w:rsidRPr="007532EC">
        <w:rPr>
          <w:rFonts w:ascii="標楷體" w:eastAsia="標楷體" w:hAnsi="標楷體"/>
          <w:sz w:val="28"/>
          <w:szCs w:val="28"/>
        </w:rPr>
        <w:t>102</w:t>
      </w:r>
      <w:r w:rsidRPr="007532EC">
        <w:rPr>
          <w:rFonts w:ascii="標楷體" w:eastAsia="標楷體" w:hAnsi="標楷體" w:hint="eastAsia"/>
          <w:sz w:val="28"/>
          <w:szCs w:val="28"/>
        </w:rPr>
        <w:t>年為</w:t>
      </w:r>
      <w:r w:rsidRPr="007532EC">
        <w:rPr>
          <w:rFonts w:ascii="標楷體" w:eastAsia="標楷體" w:hAnsi="標楷體"/>
          <w:sz w:val="28"/>
          <w:szCs w:val="28"/>
        </w:rPr>
        <w:t>13.07</w:t>
      </w:r>
      <w:r w:rsidRPr="007532EC">
        <w:rPr>
          <w:rFonts w:ascii="標楷體" w:eastAsia="標楷體" w:hAnsi="標楷體" w:hint="eastAsia"/>
          <w:sz w:val="28"/>
          <w:szCs w:val="28"/>
        </w:rPr>
        <w:t>億元，</w:t>
      </w:r>
      <w:r w:rsidRPr="007532EC">
        <w:rPr>
          <w:rFonts w:ascii="標楷體" w:eastAsia="標楷體" w:hAnsi="標楷體"/>
          <w:sz w:val="28"/>
          <w:szCs w:val="28"/>
        </w:rPr>
        <w:t>103</w:t>
      </w:r>
      <w:r w:rsidRPr="007532EC">
        <w:rPr>
          <w:rFonts w:ascii="標楷體" w:eastAsia="標楷體" w:hAnsi="標楷體" w:hint="eastAsia"/>
          <w:sz w:val="28"/>
          <w:szCs w:val="28"/>
        </w:rPr>
        <w:t>年為</w:t>
      </w:r>
      <w:r w:rsidRPr="007532EC">
        <w:rPr>
          <w:rFonts w:ascii="標楷體" w:eastAsia="標楷體" w:hAnsi="標楷體"/>
          <w:sz w:val="28"/>
          <w:szCs w:val="28"/>
        </w:rPr>
        <w:t>11.27</w:t>
      </w:r>
      <w:r w:rsidRPr="007532EC">
        <w:rPr>
          <w:rFonts w:ascii="標楷體" w:eastAsia="標楷體" w:hAnsi="標楷體" w:hint="eastAsia"/>
          <w:sz w:val="28"/>
          <w:szCs w:val="28"/>
        </w:rPr>
        <w:t>億元，其中女性原住民廠商得標金額各年度分別為</w:t>
      </w:r>
      <w:r w:rsidRPr="007532EC">
        <w:rPr>
          <w:rFonts w:ascii="標楷體" w:eastAsia="標楷體" w:hAnsi="標楷體"/>
          <w:sz w:val="28"/>
          <w:szCs w:val="28"/>
        </w:rPr>
        <w:t>6.5</w:t>
      </w:r>
      <w:r w:rsidRPr="007532EC">
        <w:rPr>
          <w:rFonts w:ascii="標楷體" w:eastAsia="標楷體" w:hAnsi="標楷體" w:hint="eastAsia"/>
          <w:sz w:val="28"/>
          <w:szCs w:val="28"/>
        </w:rPr>
        <w:t>億元</w:t>
      </w:r>
      <w:r w:rsidRPr="007532EC">
        <w:rPr>
          <w:rFonts w:ascii="標楷體" w:eastAsia="標楷體" w:hAnsi="標楷體"/>
          <w:sz w:val="28"/>
          <w:szCs w:val="28"/>
        </w:rPr>
        <w:t>(</w:t>
      </w:r>
      <w:r w:rsidRPr="007532EC">
        <w:rPr>
          <w:rFonts w:ascii="標楷體" w:eastAsia="標楷體" w:hAnsi="標楷體" w:hint="eastAsia"/>
          <w:sz w:val="28"/>
          <w:szCs w:val="28"/>
        </w:rPr>
        <w:t>占該年度原住民廠商總決標金額</w:t>
      </w:r>
      <w:r w:rsidRPr="007532EC">
        <w:rPr>
          <w:rFonts w:ascii="標楷體" w:eastAsia="標楷體" w:hAnsi="標楷體"/>
          <w:sz w:val="28"/>
          <w:szCs w:val="28"/>
        </w:rPr>
        <w:t>49.6%)</w:t>
      </w:r>
      <w:r w:rsidRPr="007532EC">
        <w:rPr>
          <w:rFonts w:ascii="標楷體" w:eastAsia="標楷體" w:hAnsi="標楷體" w:hint="eastAsia"/>
          <w:sz w:val="28"/>
          <w:szCs w:val="28"/>
        </w:rPr>
        <w:t>及</w:t>
      </w:r>
      <w:r w:rsidRPr="007532EC">
        <w:rPr>
          <w:rFonts w:ascii="標楷體" w:eastAsia="標楷體" w:hAnsi="標楷體"/>
          <w:sz w:val="28"/>
          <w:szCs w:val="28"/>
        </w:rPr>
        <w:t>5.2</w:t>
      </w:r>
      <w:r w:rsidRPr="007532EC">
        <w:rPr>
          <w:rFonts w:ascii="標楷體" w:eastAsia="標楷體" w:hAnsi="標楷體" w:hint="eastAsia"/>
          <w:sz w:val="28"/>
          <w:szCs w:val="28"/>
        </w:rPr>
        <w:t>億元</w:t>
      </w:r>
      <w:r w:rsidRPr="007532EC">
        <w:rPr>
          <w:rFonts w:ascii="標楷體" w:eastAsia="標楷體" w:hAnsi="標楷體"/>
          <w:sz w:val="28"/>
          <w:szCs w:val="28"/>
        </w:rPr>
        <w:t>(</w:t>
      </w:r>
      <w:r w:rsidRPr="007532EC">
        <w:rPr>
          <w:rFonts w:ascii="標楷體" w:eastAsia="標楷體" w:hAnsi="標楷體" w:hint="eastAsia"/>
          <w:sz w:val="28"/>
          <w:szCs w:val="28"/>
        </w:rPr>
        <w:t>占該年度原住民廠商總決標金額</w:t>
      </w:r>
      <w:r w:rsidRPr="007532EC">
        <w:rPr>
          <w:rFonts w:ascii="標楷體" w:eastAsia="標楷體" w:hAnsi="標楷體"/>
          <w:sz w:val="28"/>
          <w:szCs w:val="28"/>
        </w:rPr>
        <w:t>46.0%)</w:t>
      </w:r>
      <w:r w:rsidRPr="007532EC">
        <w:rPr>
          <w:rFonts w:ascii="標楷體" w:eastAsia="標楷體" w:hAnsi="標楷體" w:hint="eastAsia"/>
          <w:sz w:val="28"/>
          <w:szCs w:val="28"/>
        </w:rPr>
        <w:t>。以上各項數據顯示，女性原住民廠商得標件數、金額及比率，</w:t>
      </w:r>
      <w:r w:rsidRPr="007532EC">
        <w:rPr>
          <w:rFonts w:ascii="標楷體" w:eastAsia="標楷體" w:hAnsi="標楷體"/>
          <w:sz w:val="28"/>
          <w:szCs w:val="28"/>
        </w:rPr>
        <w:t>103</w:t>
      </w:r>
      <w:r w:rsidRPr="007532EC">
        <w:rPr>
          <w:rFonts w:ascii="標楷體" w:eastAsia="標楷體" w:hAnsi="標楷體" w:hint="eastAsia"/>
          <w:sz w:val="28"/>
          <w:szCs w:val="28"/>
        </w:rPr>
        <w:t>年雖較</w:t>
      </w:r>
      <w:r w:rsidRPr="007532EC">
        <w:rPr>
          <w:rFonts w:ascii="標楷體" w:eastAsia="標楷體" w:hAnsi="標楷體"/>
          <w:sz w:val="28"/>
          <w:szCs w:val="28"/>
        </w:rPr>
        <w:t>102</w:t>
      </w:r>
      <w:r w:rsidRPr="007532EC">
        <w:rPr>
          <w:rFonts w:ascii="標楷體" w:eastAsia="標楷體" w:hAnsi="標楷體" w:hint="eastAsia"/>
          <w:sz w:val="28"/>
          <w:szCs w:val="28"/>
        </w:rPr>
        <w:t>年下降，惟均仍接近</w:t>
      </w:r>
      <w:r w:rsidRPr="007532EC">
        <w:rPr>
          <w:rFonts w:ascii="標楷體" w:eastAsia="標楷體" w:hAnsi="標楷體"/>
          <w:sz w:val="28"/>
          <w:szCs w:val="28"/>
        </w:rPr>
        <w:t>5</w:t>
      </w:r>
      <w:r w:rsidRPr="007532EC">
        <w:rPr>
          <w:rFonts w:ascii="標楷體" w:eastAsia="標楷體" w:hAnsi="標楷體" w:hint="eastAsia"/>
          <w:sz w:val="28"/>
          <w:szCs w:val="28"/>
        </w:rPr>
        <w:t>成比率，顯示原住民廠商取得政府採購機會，與法定代表人性別無明顯關聯。</w:t>
      </w:r>
    </w:p>
    <w:p w:rsidR="00514373" w:rsidRPr="007532EC" w:rsidRDefault="00514373" w:rsidP="007532EC">
      <w:pPr>
        <w:pStyle w:val="ListParagraph"/>
        <w:widowControl/>
        <w:snapToGrid w:val="0"/>
        <w:spacing w:line="400" w:lineRule="exact"/>
        <w:ind w:leftChars="649" w:left="1916" w:hangingChars="128" w:hanging="358"/>
        <w:jc w:val="both"/>
        <w:rPr>
          <w:rFonts w:ascii="標楷體" w:eastAsia="標楷體" w:hAnsi="標楷體"/>
          <w:sz w:val="28"/>
          <w:szCs w:val="28"/>
        </w:rPr>
      </w:pPr>
      <w:r w:rsidRPr="007532EC">
        <w:rPr>
          <w:rFonts w:ascii="標楷體" w:eastAsia="標楷體" w:hAnsi="標楷體" w:hint="eastAsia"/>
          <w:sz w:val="28"/>
          <w:szCs w:val="28"/>
        </w:rPr>
        <w:t>表</w:t>
      </w:r>
      <w:r w:rsidRPr="007532EC">
        <w:rPr>
          <w:rFonts w:ascii="標楷體" w:eastAsia="標楷體" w:hAnsi="標楷體"/>
          <w:sz w:val="28"/>
          <w:szCs w:val="28"/>
        </w:rPr>
        <w:t xml:space="preserve">1  </w:t>
      </w:r>
      <w:r w:rsidRPr="007532EC">
        <w:rPr>
          <w:rFonts w:ascii="標楷體" w:eastAsia="標楷體" w:hAnsi="標楷體" w:hint="eastAsia"/>
          <w:sz w:val="28"/>
          <w:szCs w:val="28"/>
        </w:rPr>
        <w:t>各類女性企業參與政府採購得標件數及金額統計表</w:t>
      </w:r>
    </w:p>
    <w:tbl>
      <w:tblPr>
        <w:tblpPr w:leftFromText="180" w:rightFromText="180" w:vertAnchor="text" w:horzAnchor="margin" w:tblpXSpec="right" w:tblpY="142"/>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6"/>
        <w:gridCol w:w="974"/>
        <w:gridCol w:w="828"/>
        <w:gridCol w:w="847"/>
        <w:gridCol w:w="1205"/>
        <w:gridCol w:w="948"/>
        <w:gridCol w:w="1080"/>
        <w:gridCol w:w="960"/>
        <w:gridCol w:w="960"/>
      </w:tblGrid>
      <w:tr w:rsidR="00514373" w:rsidRPr="007532EC" w:rsidTr="002A09F7">
        <w:tc>
          <w:tcPr>
            <w:tcW w:w="706" w:type="dxa"/>
            <w:vMerge w:val="restart"/>
            <w:vAlign w:val="center"/>
          </w:tcPr>
          <w:p w:rsidR="00514373" w:rsidRPr="007532EC" w:rsidRDefault="00514373" w:rsidP="002A09F7">
            <w:pPr>
              <w:spacing w:line="240" w:lineRule="exact"/>
              <w:jc w:val="center"/>
              <w:rPr>
                <w:rFonts w:ascii="標楷體" w:eastAsia="標楷體" w:hAnsi="標楷體"/>
                <w:sz w:val="20"/>
                <w:szCs w:val="20"/>
              </w:rPr>
            </w:pPr>
            <w:r w:rsidRPr="007532EC">
              <w:rPr>
                <w:rFonts w:ascii="標楷體" w:eastAsia="標楷體" w:hAnsi="標楷體" w:hint="eastAsia"/>
                <w:sz w:val="20"/>
                <w:szCs w:val="20"/>
              </w:rPr>
              <w:t>年度</w:t>
            </w:r>
          </w:p>
        </w:tc>
        <w:tc>
          <w:tcPr>
            <w:tcW w:w="974" w:type="dxa"/>
            <w:vMerge w:val="restart"/>
            <w:vAlign w:val="center"/>
          </w:tcPr>
          <w:p w:rsidR="00514373" w:rsidRPr="007532EC" w:rsidRDefault="00514373" w:rsidP="002A09F7">
            <w:pPr>
              <w:spacing w:line="240" w:lineRule="exact"/>
              <w:jc w:val="center"/>
              <w:rPr>
                <w:rFonts w:ascii="標楷體" w:eastAsia="標楷體" w:hAnsi="標楷體"/>
                <w:sz w:val="20"/>
                <w:szCs w:val="20"/>
              </w:rPr>
            </w:pPr>
            <w:r w:rsidRPr="007532EC">
              <w:rPr>
                <w:rFonts w:ascii="標楷體" w:eastAsia="標楷體" w:hAnsi="標楷體" w:hint="eastAsia"/>
                <w:sz w:val="20"/>
                <w:szCs w:val="20"/>
              </w:rPr>
              <w:t>總決標件數</w:t>
            </w:r>
          </w:p>
        </w:tc>
        <w:tc>
          <w:tcPr>
            <w:tcW w:w="828" w:type="dxa"/>
            <w:vMerge w:val="restart"/>
            <w:vAlign w:val="center"/>
          </w:tcPr>
          <w:p w:rsidR="00514373" w:rsidRPr="007532EC" w:rsidRDefault="00514373" w:rsidP="002A09F7">
            <w:pPr>
              <w:spacing w:line="240" w:lineRule="exact"/>
              <w:jc w:val="center"/>
              <w:rPr>
                <w:rFonts w:ascii="標楷體" w:eastAsia="標楷體" w:hAnsi="標楷體"/>
                <w:sz w:val="20"/>
                <w:szCs w:val="20"/>
              </w:rPr>
            </w:pPr>
            <w:r w:rsidRPr="007532EC">
              <w:rPr>
                <w:rFonts w:ascii="標楷體" w:eastAsia="標楷體" w:hAnsi="標楷體" w:hint="eastAsia"/>
                <w:sz w:val="20"/>
                <w:szCs w:val="20"/>
              </w:rPr>
              <w:t>總決標金額</w:t>
            </w:r>
          </w:p>
          <w:p w:rsidR="00514373" w:rsidRPr="007532EC" w:rsidRDefault="00514373" w:rsidP="002A09F7">
            <w:pPr>
              <w:spacing w:line="240" w:lineRule="exact"/>
              <w:jc w:val="center"/>
              <w:rPr>
                <w:rFonts w:ascii="標楷體" w:eastAsia="標楷體" w:hAnsi="標楷體"/>
                <w:sz w:val="16"/>
                <w:szCs w:val="16"/>
              </w:rPr>
            </w:pPr>
            <w:r w:rsidRPr="007532EC">
              <w:rPr>
                <w:rFonts w:ascii="標楷體" w:eastAsia="標楷體" w:hAnsi="標楷體"/>
                <w:spacing w:val="-4"/>
                <w:sz w:val="16"/>
                <w:szCs w:val="16"/>
              </w:rPr>
              <w:t>(</w:t>
            </w:r>
            <w:r w:rsidRPr="007532EC">
              <w:rPr>
                <w:rFonts w:ascii="標楷體" w:eastAsia="標楷體" w:hAnsi="標楷體" w:hint="eastAsia"/>
                <w:spacing w:val="-4"/>
                <w:sz w:val="16"/>
                <w:szCs w:val="16"/>
              </w:rPr>
              <w:t>新臺幣億元</w:t>
            </w:r>
            <w:r w:rsidRPr="007532EC">
              <w:rPr>
                <w:rFonts w:ascii="標楷體" w:eastAsia="標楷體" w:hAnsi="標楷體"/>
                <w:spacing w:val="-4"/>
                <w:sz w:val="16"/>
                <w:szCs w:val="16"/>
              </w:rPr>
              <w:t>)</w:t>
            </w:r>
          </w:p>
        </w:tc>
        <w:tc>
          <w:tcPr>
            <w:tcW w:w="2052" w:type="dxa"/>
            <w:gridSpan w:val="2"/>
            <w:vAlign w:val="center"/>
          </w:tcPr>
          <w:p w:rsidR="00514373" w:rsidRPr="007532EC" w:rsidRDefault="00514373" w:rsidP="002A09F7">
            <w:pPr>
              <w:spacing w:line="240" w:lineRule="exact"/>
              <w:jc w:val="center"/>
              <w:rPr>
                <w:rFonts w:ascii="標楷體" w:eastAsia="標楷體" w:hAnsi="標楷體"/>
                <w:sz w:val="20"/>
                <w:szCs w:val="20"/>
              </w:rPr>
            </w:pPr>
            <w:r w:rsidRPr="007532EC">
              <w:rPr>
                <w:rFonts w:ascii="標楷體" w:eastAsia="標楷體" w:hAnsi="標楷體" w:hint="eastAsia"/>
                <w:sz w:val="20"/>
                <w:szCs w:val="20"/>
              </w:rPr>
              <w:t>女性企業</w:t>
            </w:r>
          </w:p>
        </w:tc>
        <w:tc>
          <w:tcPr>
            <w:tcW w:w="2028" w:type="dxa"/>
            <w:gridSpan w:val="2"/>
            <w:vAlign w:val="center"/>
          </w:tcPr>
          <w:p w:rsidR="00514373" w:rsidRPr="007532EC" w:rsidRDefault="00514373" w:rsidP="002A09F7">
            <w:pPr>
              <w:spacing w:line="240" w:lineRule="exact"/>
              <w:jc w:val="center"/>
              <w:rPr>
                <w:rFonts w:ascii="標楷體" w:eastAsia="標楷體" w:hAnsi="標楷體"/>
                <w:sz w:val="20"/>
                <w:szCs w:val="20"/>
              </w:rPr>
            </w:pPr>
            <w:r w:rsidRPr="007532EC">
              <w:rPr>
                <w:rFonts w:ascii="標楷體" w:eastAsia="標楷體" w:hAnsi="標楷體" w:hint="eastAsia"/>
                <w:sz w:val="20"/>
                <w:szCs w:val="20"/>
              </w:rPr>
              <w:t>女性中小企業</w:t>
            </w:r>
          </w:p>
        </w:tc>
        <w:tc>
          <w:tcPr>
            <w:tcW w:w="1920" w:type="dxa"/>
            <w:gridSpan w:val="2"/>
            <w:vAlign w:val="center"/>
          </w:tcPr>
          <w:p w:rsidR="00514373" w:rsidRPr="007532EC" w:rsidRDefault="00514373" w:rsidP="002A09F7">
            <w:pPr>
              <w:spacing w:line="240" w:lineRule="exact"/>
              <w:jc w:val="center"/>
              <w:rPr>
                <w:rFonts w:ascii="標楷體" w:eastAsia="標楷體" w:hAnsi="標楷體"/>
                <w:sz w:val="20"/>
                <w:szCs w:val="20"/>
              </w:rPr>
            </w:pPr>
            <w:r w:rsidRPr="007532EC">
              <w:rPr>
                <w:rFonts w:ascii="標楷體" w:eastAsia="標楷體" w:hAnsi="標楷體" w:hint="eastAsia"/>
                <w:sz w:val="20"/>
                <w:szCs w:val="20"/>
              </w:rPr>
              <w:t>優先取得採購業務機會之</w:t>
            </w:r>
          </w:p>
          <w:p w:rsidR="00514373" w:rsidRPr="007532EC" w:rsidRDefault="00514373" w:rsidP="002A09F7">
            <w:pPr>
              <w:spacing w:line="240" w:lineRule="exact"/>
              <w:jc w:val="center"/>
              <w:rPr>
                <w:rFonts w:ascii="標楷體" w:eastAsia="標楷體" w:hAnsi="標楷體"/>
                <w:sz w:val="20"/>
                <w:szCs w:val="20"/>
              </w:rPr>
            </w:pPr>
            <w:r w:rsidRPr="007532EC">
              <w:rPr>
                <w:rFonts w:ascii="標楷體" w:eastAsia="標楷體" w:hAnsi="標楷體" w:hint="eastAsia"/>
                <w:sz w:val="20"/>
                <w:szCs w:val="20"/>
              </w:rPr>
              <w:t>女性中小企業</w:t>
            </w:r>
          </w:p>
          <w:p w:rsidR="00514373" w:rsidRPr="007532EC" w:rsidRDefault="00514373" w:rsidP="002A09F7">
            <w:pPr>
              <w:spacing w:line="240" w:lineRule="exact"/>
              <w:jc w:val="center"/>
              <w:rPr>
                <w:rFonts w:ascii="標楷體" w:eastAsia="標楷體" w:hAnsi="標楷體"/>
                <w:sz w:val="20"/>
                <w:szCs w:val="20"/>
              </w:rPr>
            </w:pPr>
          </w:p>
        </w:tc>
      </w:tr>
      <w:tr w:rsidR="00514373" w:rsidRPr="007532EC" w:rsidTr="002A09F7">
        <w:tc>
          <w:tcPr>
            <w:tcW w:w="706" w:type="dxa"/>
            <w:vMerge/>
            <w:vAlign w:val="center"/>
          </w:tcPr>
          <w:p w:rsidR="00514373" w:rsidRPr="007532EC" w:rsidRDefault="00514373" w:rsidP="002A09F7">
            <w:pPr>
              <w:spacing w:line="240" w:lineRule="exact"/>
              <w:jc w:val="center"/>
              <w:rPr>
                <w:rFonts w:ascii="標楷體" w:eastAsia="標楷體" w:hAnsi="標楷體"/>
                <w:sz w:val="20"/>
                <w:szCs w:val="20"/>
              </w:rPr>
            </w:pPr>
          </w:p>
        </w:tc>
        <w:tc>
          <w:tcPr>
            <w:tcW w:w="974" w:type="dxa"/>
            <w:vMerge/>
            <w:vAlign w:val="center"/>
          </w:tcPr>
          <w:p w:rsidR="00514373" w:rsidRPr="007532EC" w:rsidRDefault="00514373" w:rsidP="002A09F7">
            <w:pPr>
              <w:spacing w:line="240" w:lineRule="exact"/>
              <w:jc w:val="center"/>
              <w:rPr>
                <w:rFonts w:ascii="標楷體" w:eastAsia="標楷體" w:hAnsi="標楷體"/>
                <w:sz w:val="20"/>
                <w:szCs w:val="20"/>
              </w:rPr>
            </w:pPr>
          </w:p>
        </w:tc>
        <w:tc>
          <w:tcPr>
            <w:tcW w:w="828" w:type="dxa"/>
            <w:vMerge/>
            <w:vAlign w:val="center"/>
          </w:tcPr>
          <w:p w:rsidR="00514373" w:rsidRPr="007532EC" w:rsidRDefault="00514373" w:rsidP="002A09F7">
            <w:pPr>
              <w:spacing w:line="240" w:lineRule="exact"/>
              <w:jc w:val="center"/>
              <w:rPr>
                <w:rFonts w:ascii="標楷體" w:eastAsia="標楷體" w:hAnsi="標楷體"/>
                <w:sz w:val="20"/>
                <w:szCs w:val="20"/>
              </w:rPr>
            </w:pPr>
          </w:p>
        </w:tc>
        <w:tc>
          <w:tcPr>
            <w:tcW w:w="847" w:type="dxa"/>
            <w:vAlign w:val="center"/>
          </w:tcPr>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hint="eastAsia"/>
                <w:spacing w:val="-4"/>
                <w:sz w:val="20"/>
                <w:szCs w:val="20"/>
              </w:rPr>
              <w:t>得標</w:t>
            </w:r>
          </w:p>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hint="eastAsia"/>
                <w:spacing w:val="-4"/>
                <w:sz w:val="20"/>
                <w:szCs w:val="20"/>
              </w:rPr>
              <w:t>件數</w:t>
            </w:r>
          </w:p>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spacing w:val="-4"/>
                <w:sz w:val="20"/>
                <w:szCs w:val="20"/>
              </w:rPr>
              <w:t>(</w:t>
            </w:r>
            <w:r w:rsidRPr="007532EC">
              <w:rPr>
                <w:rFonts w:ascii="標楷體" w:eastAsia="標楷體" w:hAnsi="標楷體" w:hint="eastAsia"/>
                <w:spacing w:val="-4"/>
                <w:sz w:val="20"/>
                <w:szCs w:val="20"/>
              </w:rPr>
              <w:t>比率</w:t>
            </w:r>
            <w:r w:rsidRPr="007532EC">
              <w:rPr>
                <w:rFonts w:ascii="標楷體" w:eastAsia="標楷體" w:hAnsi="標楷體"/>
                <w:spacing w:val="-4"/>
                <w:sz w:val="20"/>
                <w:szCs w:val="20"/>
              </w:rPr>
              <w:t>)</w:t>
            </w:r>
          </w:p>
        </w:tc>
        <w:tc>
          <w:tcPr>
            <w:tcW w:w="1205" w:type="dxa"/>
            <w:vAlign w:val="center"/>
          </w:tcPr>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hint="eastAsia"/>
                <w:spacing w:val="-4"/>
                <w:sz w:val="20"/>
                <w:szCs w:val="20"/>
              </w:rPr>
              <w:t>得標金額</w:t>
            </w:r>
          </w:p>
          <w:p w:rsidR="00514373" w:rsidRPr="007532EC" w:rsidRDefault="00514373" w:rsidP="002A09F7">
            <w:pPr>
              <w:spacing w:line="240" w:lineRule="exact"/>
              <w:jc w:val="center"/>
              <w:rPr>
                <w:rFonts w:ascii="標楷體" w:eastAsia="標楷體" w:hAnsi="標楷體"/>
                <w:spacing w:val="-4"/>
                <w:sz w:val="16"/>
                <w:szCs w:val="16"/>
              </w:rPr>
            </w:pPr>
            <w:r w:rsidRPr="007532EC">
              <w:rPr>
                <w:rFonts w:ascii="標楷體" w:eastAsia="標楷體" w:hAnsi="標楷體"/>
                <w:spacing w:val="-4"/>
                <w:sz w:val="16"/>
                <w:szCs w:val="16"/>
              </w:rPr>
              <w:t>(</w:t>
            </w:r>
            <w:r w:rsidRPr="007532EC">
              <w:rPr>
                <w:rFonts w:ascii="標楷體" w:eastAsia="標楷體" w:hAnsi="標楷體" w:hint="eastAsia"/>
                <w:spacing w:val="-4"/>
                <w:sz w:val="16"/>
                <w:szCs w:val="16"/>
              </w:rPr>
              <w:t>新臺幣億元</w:t>
            </w:r>
            <w:r w:rsidRPr="007532EC">
              <w:rPr>
                <w:rFonts w:ascii="標楷體" w:eastAsia="標楷體" w:hAnsi="標楷體"/>
                <w:spacing w:val="-4"/>
                <w:sz w:val="16"/>
                <w:szCs w:val="16"/>
              </w:rPr>
              <w:t>)</w:t>
            </w:r>
          </w:p>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spacing w:val="-4"/>
                <w:sz w:val="20"/>
                <w:szCs w:val="20"/>
              </w:rPr>
              <w:t>(</w:t>
            </w:r>
            <w:r w:rsidRPr="007532EC">
              <w:rPr>
                <w:rFonts w:ascii="標楷體" w:eastAsia="標楷體" w:hAnsi="標楷體" w:hint="eastAsia"/>
                <w:spacing w:val="-4"/>
                <w:sz w:val="20"/>
                <w:szCs w:val="20"/>
              </w:rPr>
              <w:t>比率</w:t>
            </w:r>
            <w:r w:rsidRPr="007532EC">
              <w:rPr>
                <w:rFonts w:ascii="標楷體" w:eastAsia="標楷體" w:hAnsi="標楷體"/>
                <w:spacing w:val="-4"/>
                <w:sz w:val="20"/>
                <w:szCs w:val="20"/>
              </w:rPr>
              <w:t>)</w:t>
            </w:r>
          </w:p>
        </w:tc>
        <w:tc>
          <w:tcPr>
            <w:tcW w:w="948" w:type="dxa"/>
            <w:vAlign w:val="center"/>
          </w:tcPr>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hint="eastAsia"/>
                <w:spacing w:val="-4"/>
                <w:sz w:val="20"/>
                <w:szCs w:val="20"/>
              </w:rPr>
              <w:t>得標</w:t>
            </w:r>
          </w:p>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hint="eastAsia"/>
                <w:spacing w:val="-4"/>
                <w:sz w:val="20"/>
                <w:szCs w:val="20"/>
              </w:rPr>
              <w:t>件數</w:t>
            </w:r>
          </w:p>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spacing w:val="-4"/>
                <w:sz w:val="20"/>
                <w:szCs w:val="20"/>
              </w:rPr>
              <w:t>(</w:t>
            </w:r>
            <w:r w:rsidRPr="007532EC">
              <w:rPr>
                <w:rFonts w:ascii="標楷體" w:eastAsia="標楷體" w:hAnsi="標楷體" w:hint="eastAsia"/>
                <w:spacing w:val="-4"/>
                <w:sz w:val="20"/>
                <w:szCs w:val="20"/>
              </w:rPr>
              <w:t>比率</w:t>
            </w:r>
            <w:r w:rsidRPr="007532EC">
              <w:rPr>
                <w:rFonts w:ascii="標楷體" w:eastAsia="標楷體" w:hAnsi="標楷體"/>
                <w:spacing w:val="-4"/>
                <w:sz w:val="20"/>
                <w:szCs w:val="20"/>
              </w:rPr>
              <w:t>)</w:t>
            </w:r>
          </w:p>
        </w:tc>
        <w:tc>
          <w:tcPr>
            <w:tcW w:w="1080" w:type="dxa"/>
            <w:vAlign w:val="center"/>
          </w:tcPr>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hint="eastAsia"/>
                <w:spacing w:val="-4"/>
                <w:sz w:val="20"/>
                <w:szCs w:val="20"/>
              </w:rPr>
              <w:t>得標金額</w:t>
            </w:r>
          </w:p>
          <w:p w:rsidR="00514373" w:rsidRPr="007532EC" w:rsidRDefault="00514373" w:rsidP="002A09F7">
            <w:pPr>
              <w:spacing w:line="240" w:lineRule="exact"/>
              <w:ind w:leftChars="-45" w:hangingChars="71" w:hanging="108"/>
              <w:jc w:val="center"/>
              <w:rPr>
                <w:rFonts w:ascii="標楷體" w:eastAsia="標楷體" w:hAnsi="標楷體"/>
                <w:spacing w:val="-4"/>
                <w:sz w:val="16"/>
                <w:szCs w:val="16"/>
              </w:rPr>
            </w:pPr>
            <w:r w:rsidRPr="007532EC">
              <w:rPr>
                <w:rFonts w:ascii="標楷體" w:eastAsia="標楷體" w:hAnsi="標楷體"/>
                <w:spacing w:val="-4"/>
                <w:sz w:val="16"/>
                <w:szCs w:val="16"/>
              </w:rPr>
              <w:t>(</w:t>
            </w:r>
            <w:r w:rsidRPr="007532EC">
              <w:rPr>
                <w:rFonts w:ascii="標楷體" w:eastAsia="標楷體" w:hAnsi="標楷體" w:hint="eastAsia"/>
                <w:spacing w:val="-4"/>
                <w:sz w:val="16"/>
                <w:szCs w:val="16"/>
              </w:rPr>
              <w:t>新臺幣億元</w:t>
            </w:r>
            <w:r w:rsidRPr="007532EC">
              <w:rPr>
                <w:rFonts w:ascii="標楷體" w:eastAsia="標楷體" w:hAnsi="標楷體"/>
                <w:spacing w:val="-4"/>
                <w:sz w:val="16"/>
                <w:szCs w:val="16"/>
              </w:rPr>
              <w:t>)</w:t>
            </w:r>
          </w:p>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spacing w:val="-4"/>
                <w:sz w:val="20"/>
                <w:szCs w:val="20"/>
              </w:rPr>
              <w:t>(</w:t>
            </w:r>
            <w:r w:rsidRPr="007532EC">
              <w:rPr>
                <w:rFonts w:ascii="標楷體" w:eastAsia="標楷體" w:hAnsi="標楷體" w:hint="eastAsia"/>
                <w:spacing w:val="-4"/>
                <w:sz w:val="20"/>
                <w:szCs w:val="20"/>
              </w:rPr>
              <w:t>比率</w:t>
            </w:r>
            <w:r w:rsidRPr="007532EC">
              <w:rPr>
                <w:rFonts w:ascii="標楷體" w:eastAsia="標楷體" w:hAnsi="標楷體"/>
                <w:spacing w:val="-4"/>
                <w:sz w:val="20"/>
                <w:szCs w:val="20"/>
              </w:rPr>
              <w:t>)</w:t>
            </w:r>
          </w:p>
        </w:tc>
        <w:tc>
          <w:tcPr>
            <w:tcW w:w="960" w:type="dxa"/>
            <w:vAlign w:val="center"/>
          </w:tcPr>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hint="eastAsia"/>
                <w:spacing w:val="-4"/>
                <w:sz w:val="20"/>
                <w:szCs w:val="20"/>
              </w:rPr>
              <w:t>得標</w:t>
            </w:r>
          </w:p>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hint="eastAsia"/>
                <w:spacing w:val="-4"/>
                <w:sz w:val="20"/>
                <w:szCs w:val="20"/>
              </w:rPr>
              <w:t>件數</w:t>
            </w:r>
          </w:p>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spacing w:val="-4"/>
                <w:sz w:val="20"/>
                <w:szCs w:val="20"/>
              </w:rPr>
              <w:t>(</w:t>
            </w:r>
            <w:r w:rsidRPr="007532EC">
              <w:rPr>
                <w:rFonts w:ascii="標楷體" w:eastAsia="標楷體" w:hAnsi="標楷體" w:hint="eastAsia"/>
                <w:spacing w:val="-4"/>
                <w:sz w:val="20"/>
                <w:szCs w:val="20"/>
              </w:rPr>
              <w:t>比率</w:t>
            </w:r>
            <w:r w:rsidRPr="007532EC">
              <w:rPr>
                <w:rFonts w:ascii="標楷體" w:eastAsia="標楷體" w:hAnsi="標楷體"/>
                <w:spacing w:val="-4"/>
                <w:sz w:val="20"/>
                <w:szCs w:val="20"/>
              </w:rPr>
              <w:t>)</w:t>
            </w:r>
          </w:p>
        </w:tc>
        <w:tc>
          <w:tcPr>
            <w:tcW w:w="960" w:type="dxa"/>
            <w:vAlign w:val="center"/>
          </w:tcPr>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hint="eastAsia"/>
                <w:spacing w:val="-4"/>
                <w:sz w:val="20"/>
                <w:szCs w:val="20"/>
              </w:rPr>
              <w:t>得標</w:t>
            </w:r>
          </w:p>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hint="eastAsia"/>
                <w:spacing w:val="-4"/>
                <w:sz w:val="20"/>
                <w:szCs w:val="20"/>
              </w:rPr>
              <w:t>金額</w:t>
            </w:r>
          </w:p>
          <w:p w:rsidR="00514373" w:rsidRPr="007532EC" w:rsidRDefault="00514373" w:rsidP="002A09F7">
            <w:pPr>
              <w:spacing w:line="240" w:lineRule="exact"/>
              <w:ind w:leftChars="-45" w:left="-11" w:hangingChars="71" w:hanging="97"/>
              <w:jc w:val="center"/>
              <w:rPr>
                <w:rFonts w:ascii="標楷體" w:eastAsia="標楷體" w:hAnsi="標楷體"/>
                <w:spacing w:val="-12"/>
                <w:sz w:val="16"/>
                <w:szCs w:val="16"/>
              </w:rPr>
            </w:pPr>
            <w:r w:rsidRPr="007532EC">
              <w:rPr>
                <w:rFonts w:ascii="標楷體" w:eastAsia="標楷體" w:hAnsi="標楷體"/>
                <w:spacing w:val="-12"/>
                <w:sz w:val="16"/>
                <w:szCs w:val="16"/>
              </w:rPr>
              <w:t>(</w:t>
            </w:r>
            <w:r w:rsidRPr="007532EC">
              <w:rPr>
                <w:rFonts w:ascii="標楷體" w:eastAsia="標楷體" w:hAnsi="標楷體" w:hint="eastAsia"/>
                <w:spacing w:val="-12"/>
                <w:sz w:val="16"/>
                <w:szCs w:val="16"/>
              </w:rPr>
              <w:t>新臺幣億元</w:t>
            </w:r>
            <w:r w:rsidRPr="007532EC">
              <w:rPr>
                <w:rFonts w:ascii="標楷體" w:eastAsia="標楷體" w:hAnsi="標楷體"/>
                <w:spacing w:val="-12"/>
                <w:sz w:val="16"/>
                <w:szCs w:val="16"/>
              </w:rPr>
              <w:t>)</w:t>
            </w:r>
          </w:p>
          <w:p w:rsidR="00514373" w:rsidRPr="007532EC" w:rsidRDefault="00514373" w:rsidP="002A09F7">
            <w:pPr>
              <w:spacing w:line="240" w:lineRule="exact"/>
              <w:jc w:val="center"/>
              <w:rPr>
                <w:rFonts w:ascii="標楷體" w:eastAsia="標楷體" w:hAnsi="標楷體"/>
                <w:spacing w:val="-4"/>
                <w:sz w:val="20"/>
                <w:szCs w:val="20"/>
              </w:rPr>
            </w:pPr>
            <w:r w:rsidRPr="007532EC">
              <w:rPr>
                <w:rFonts w:ascii="標楷體" w:eastAsia="標楷體" w:hAnsi="標楷體"/>
                <w:spacing w:val="-4"/>
                <w:sz w:val="20"/>
                <w:szCs w:val="20"/>
              </w:rPr>
              <w:t>(</w:t>
            </w:r>
            <w:r w:rsidRPr="007532EC">
              <w:rPr>
                <w:rFonts w:ascii="標楷體" w:eastAsia="標楷體" w:hAnsi="標楷體" w:hint="eastAsia"/>
                <w:spacing w:val="-4"/>
                <w:sz w:val="20"/>
                <w:szCs w:val="20"/>
              </w:rPr>
              <w:t>比率</w:t>
            </w:r>
            <w:r w:rsidRPr="007532EC">
              <w:rPr>
                <w:rFonts w:ascii="標楷體" w:eastAsia="標楷體" w:hAnsi="標楷體"/>
                <w:spacing w:val="-4"/>
                <w:sz w:val="20"/>
                <w:szCs w:val="20"/>
              </w:rPr>
              <w:t>)</w:t>
            </w:r>
          </w:p>
        </w:tc>
      </w:tr>
      <w:tr w:rsidR="00514373" w:rsidRPr="007532EC" w:rsidTr="002A09F7">
        <w:tc>
          <w:tcPr>
            <w:tcW w:w="706"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102</w:t>
            </w:r>
          </w:p>
        </w:tc>
        <w:tc>
          <w:tcPr>
            <w:tcW w:w="974"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146,050</w:t>
            </w:r>
          </w:p>
        </w:tc>
        <w:tc>
          <w:tcPr>
            <w:tcW w:w="828"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9,335</w:t>
            </w:r>
          </w:p>
        </w:tc>
        <w:tc>
          <w:tcPr>
            <w:tcW w:w="847"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41,707</w:t>
            </w:r>
          </w:p>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(28.6%)</w:t>
            </w:r>
          </w:p>
        </w:tc>
        <w:tc>
          <w:tcPr>
            <w:tcW w:w="1205"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2,057</w:t>
            </w:r>
          </w:p>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(22.0%)</w:t>
            </w:r>
          </w:p>
          <w:p w:rsidR="00514373" w:rsidRPr="007532EC" w:rsidRDefault="00514373" w:rsidP="002A09F7">
            <w:pPr>
              <w:spacing w:line="240" w:lineRule="exact"/>
              <w:jc w:val="center"/>
              <w:rPr>
                <w:rFonts w:ascii="Calibri" w:hAnsi="Calibri"/>
                <w:sz w:val="20"/>
                <w:szCs w:val="20"/>
              </w:rPr>
            </w:pPr>
          </w:p>
        </w:tc>
        <w:tc>
          <w:tcPr>
            <w:tcW w:w="948"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40,962</w:t>
            </w:r>
          </w:p>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(28.0%)</w:t>
            </w:r>
          </w:p>
        </w:tc>
        <w:tc>
          <w:tcPr>
            <w:tcW w:w="1080"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1,912</w:t>
            </w:r>
          </w:p>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(20.5%)</w:t>
            </w:r>
          </w:p>
        </w:tc>
        <w:tc>
          <w:tcPr>
            <w:tcW w:w="960"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hint="eastAsia"/>
                <w:sz w:val="20"/>
                <w:szCs w:val="20"/>
              </w:rPr>
              <w:t>─</w:t>
            </w:r>
          </w:p>
        </w:tc>
        <w:tc>
          <w:tcPr>
            <w:tcW w:w="960"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hint="eastAsia"/>
                <w:sz w:val="20"/>
                <w:szCs w:val="20"/>
              </w:rPr>
              <w:t>─</w:t>
            </w:r>
          </w:p>
        </w:tc>
      </w:tr>
      <w:tr w:rsidR="00514373" w:rsidRPr="007532EC" w:rsidTr="002A09F7">
        <w:tc>
          <w:tcPr>
            <w:tcW w:w="706"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103</w:t>
            </w:r>
          </w:p>
        </w:tc>
        <w:tc>
          <w:tcPr>
            <w:tcW w:w="974"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151,114</w:t>
            </w:r>
          </w:p>
        </w:tc>
        <w:tc>
          <w:tcPr>
            <w:tcW w:w="828"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8,412</w:t>
            </w:r>
          </w:p>
        </w:tc>
        <w:tc>
          <w:tcPr>
            <w:tcW w:w="847"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43,440</w:t>
            </w:r>
          </w:p>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(28.8%)</w:t>
            </w:r>
          </w:p>
        </w:tc>
        <w:tc>
          <w:tcPr>
            <w:tcW w:w="1205"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1,888</w:t>
            </w:r>
          </w:p>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(22.4%)</w:t>
            </w:r>
          </w:p>
        </w:tc>
        <w:tc>
          <w:tcPr>
            <w:tcW w:w="948"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42,791</w:t>
            </w:r>
          </w:p>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(28.3%)</w:t>
            </w:r>
          </w:p>
        </w:tc>
        <w:tc>
          <w:tcPr>
            <w:tcW w:w="1080"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1,770</w:t>
            </w:r>
          </w:p>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(21.0%)</w:t>
            </w:r>
          </w:p>
        </w:tc>
        <w:tc>
          <w:tcPr>
            <w:tcW w:w="960"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bCs/>
                <w:sz w:val="20"/>
                <w:szCs w:val="20"/>
              </w:rPr>
              <w:t>34,549</w:t>
            </w:r>
          </w:p>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(22.9%)</w:t>
            </w:r>
          </w:p>
        </w:tc>
        <w:tc>
          <w:tcPr>
            <w:tcW w:w="960" w:type="dxa"/>
            <w:vAlign w:val="center"/>
          </w:tcPr>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1,179</w:t>
            </w:r>
          </w:p>
          <w:p w:rsidR="00514373" w:rsidRPr="007532EC" w:rsidRDefault="00514373" w:rsidP="002A09F7">
            <w:pPr>
              <w:spacing w:line="240" w:lineRule="exact"/>
              <w:jc w:val="center"/>
              <w:rPr>
                <w:rFonts w:ascii="Calibri" w:hAnsi="Calibri"/>
                <w:sz w:val="20"/>
                <w:szCs w:val="20"/>
              </w:rPr>
            </w:pPr>
            <w:r w:rsidRPr="007532EC">
              <w:rPr>
                <w:rFonts w:ascii="Calibri" w:hAnsi="Calibri"/>
                <w:sz w:val="20"/>
                <w:szCs w:val="20"/>
              </w:rPr>
              <w:t>(14.0%)</w:t>
            </w:r>
          </w:p>
        </w:tc>
      </w:tr>
    </w:tbl>
    <w:p w:rsidR="00514373" w:rsidRPr="007532EC" w:rsidRDefault="00514373" w:rsidP="007532EC">
      <w:pPr>
        <w:widowControl/>
        <w:snapToGrid w:val="0"/>
        <w:spacing w:line="500" w:lineRule="atLeast"/>
        <w:ind w:leftChars="400" w:left="1473" w:hangingChars="171" w:hanging="513"/>
        <w:rPr>
          <w:rFonts w:ascii="標楷體" w:eastAsia="標楷體" w:hAnsi="標楷體"/>
          <w:sz w:val="30"/>
          <w:szCs w:val="30"/>
        </w:rPr>
      </w:pPr>
    </w:p>
    <w:p w:rsidR="00514373" w:rsidRPr="007532EC" w:rsidRDefault="00514373">
      <w:pPr>
        <w:rPr>
          <w:rFonts w:ascii="標楷體" w:eastAsia="標楷體" w:hAnsi="標楷體"/>
          <w:sz w:val="28"/>
          <w:szCs w:val="28"/>
        </w:rPr>
      </w:pPr>
    </w:p>
    <w:p w:rsidR="00514373" w:rsidRPr="007532EC" w:rsidRDefault="00514373">
      <w:pPr>
        <w:rPr>
          <w:rFonts w:ascii="標楷體" w:eastAsia="標楷體" w:hAnsi="標楷體"/>
          <w:sz w:val="28"/>
          <w:szCs w:val="28"/>
        </w:rPr>
      </w:pPr>
    </w:p>
    <w:p w:rsidR="00514373" w:rsidRPr="007532EC" w:rsidRDefault="00514373">
      <w:pPr>
        <w:rPr>
          <w:rFonts w:ascii="標楷體" w:eastAsia="標楷體" w:hAnsi="標楷體"/>
          <w:sz w:val="28"/>
          <w:szCs w:val="28"/>
        </w:rPr>
      </w:pPr>
    </w:p>
    <w:p w:rsidR="00514373" w:rsidRPr="007532EC" w:rsidRDefault="00514373">
      <w:pPr>
        <w:rPr>
          <w:rFonts w:ascii="標楷體" w:eastAsia="標楷體" w:hAnsi="標楷體"/>
          <w:sz w:val="28"/>
          <w:szCs w:val="28"/>
        </w:rPr>
      </w:pPr>
    </w:p>
    <w:p w:rsidR="00514373" w:rsidRPr="007532EC" w:rsidRDefault="00514373" w:rsidP="00F8640E">
      <w:pPr>
        <w:spacing w:line="240" w:lineRule="exact"/>
        <w:rPr>
          <w:rFonts w:ascii="標楷體" w:eastAsia="標楷體" w:hAnsi="標楷體"/>
          <w:sz w:val="20"/>
          <w:szCs w:val="20"/>
        </w:rPr>
      </w:pPr>
    </w:p>
    <w:p w:rsidR="00514373" w:rsidRPr="007532EC" w:rsidRDefault="00514373" w:rsidP="00F8640E">
      <w:pPr>
        <w:spacing w:line="240" w:lineRule="exact"/>
        <w:ind w:leftChars="542" w:left="1861" w:hangingChars="280" w:hanging="560"/>
        <w:rPr>
          <w:rFonts w:ascii="標楷體" w:eastAsia="標楷體" w:hAnsi="標楷體"/>
          <w:sz w:val="20"/>
          <w:szCs w:val="20"/>
        </w:rPr>
      </w:pPr>
      <w:r w:rsidRPr="007532EC">
        <w:rPr>
          <w:rFonts w:ascii="標楷體" w:eastAsia="標楷體" w:hAnsi="標楷體" w:hint="eastAsia"/>
          <w:sz w:val="20"/>
          <w:szCs w:val="20"/>
        </w:rPr>
        <w:t>註</w:t>
      </w:r>
      <w:r w:rsidRPr="007532EC">
        <w:rPr>
          <w:rFonts w:ascii="標楷體" w:eastAsia="標楷體" w:hAnsi="標楷體"/>
          <w:sz w:val="20"/>
          <w:szCs w:val="20"/>
        </w:rPr>
        <w:t>1</w:t>
      </w:r>
      <w:r w:rsidRPr="007532EC">
        <w:rPr>
          <w:rFonts w:ascii="標楷體" w:eastAsia="標楷體" w:hAnsi="標楷體" w:hint="eastAsia"/>
          <w:sz w:val="20"/>
          <w:szCs w:val="20"/>
        </w:rPr>
        <w:t>：總決標件數及總決標金額，係依商業登記法及公司法登記之企業得標者。</w:t>
      </w:r>
    </w:p>
    <w:p w:rsidR="00514373" w:rsidRPr="007532EC" w:rsidRDefault="00514373" w:rsidP="00F8640E">
      <w:pPr>
        <w:spacing w:line="240" w:lineRule="exact"/>
        <w:ind w:leftChars="542" w:left="1861" w:hangingChars="280" w:hanging="560"/>
        <w:rPr>
          <w:rFonts w:ascii="標楷體" w:eastAsia="標楷體" w:hAnsi="標楷體"/>
          <w:sz w:val="20"/>
          <w:szCs w:val="20"/>
        </w:rPr>
      </w:pPr>
      <w:r w:rsidRPr="007532EC">
        <w:rPr>
          <w:rFonts w:ascii="標楷體" w:eastAsia="標楷體" w:hAnsi="標楷體" w:hint="eastAsia"/>
          <w:sz w:val="20"/>
          <w:szCs w:val="20"/>
        </w:rPr>
        <w:t>註</w:t>
      </w:r>
      <w:r w:rsidRPr="007532EC">
        <w:rPr>
          <w:rFonts w:ascii="標楷體" w:eastAsia="標楷體" w:hAnsi="標楷體"/>
          <w:sz w:val="20"/>
          <w:szCs w:val="20"/>
        </w:rPr>
        <w:t>2</w:t>
      </w:r>
      <w:r w:rsidRPr="007532EC">
        <w:rPr>
          <w:rFonts w:ascii="標楷體" w:eastAsia="標楷體" w:hAnsi="標楷體" w:hint="eastAsia"/>
          <w:sz w:val="20"/>
          <w:szCs w:val="20"/>
        </w:rPr>
        <w:t>：本統計所稱「女性企業」，指依商業登記法及公司法登記之企業，其法定代表人為女性之得標廠商。</w:t>
      </w:r>
    </w:p>
    <w:p w:rsidR="00514373" w:rsidRPr="007532EC" w:rsidRDefault="00514373" w:rsidP="00F8640E">
      <w:pPr>
        <w:spacing w:line="240" w:lineRule="exact"/>
        <w:ind w:leftChars="542" w:left="1861" w:hangingChars="280" w:hanging="560"/>
        <w:rPr>
          <w:rFonts w:ascii="標楷體" w:eastAsia="標楷體" w:hAnsi="標楷體"/>
          <w:sz w:val="20"/>
          <w:szCs w:val="20"/>
        </w:rPr>
      </w:pPr>
      <w:r w:rsidRPr="007532EC">
        <w:rPr>
          <w:rFonts w:ascii="標楷體" w:eastAsia="標楷體" w:hAnsi="標楷體" w:hint="eastAsia"/>
          <w:sz w:val="20"/>
          <w:szCs w:val="20"/>
        </w:rPr>
        <w:t>註</w:t>
      </w:r>
      <w:r w:rsidRPr="007532EC">
        <w:rPr>
          <w:rFonts w:ascii="標楷體" w:eastAsia="標楷體" w:hAnsi="標楷體"/>
          <w:sz w:val="20"/>
          <w:szCs w:val="20"/>
        </w:rPr>
        <w:t>3</w:t>
      </w:r>
      <w:r w:rsidRPr="007532EC">
        <w:rPr>
          <w:rFonts w:ascii="標楷體" w:eastAsia="標楷體" w:hAnsi="標楷體" w:hint="eastAsia"/>
          <w:sz w:val="20"/>
          <w:szCs w:val="20"/>
        </w:rPr>
        <w:t>：本統計所稱「女性中小企業」，指依商業登記法及公司法登記之企業，其指法定代表人為女性且決標公告之『是否為中小企業』欄位選取『是』之得標廠商。</w:t>
      </w:r>
    </w:p>
    <w:p w:rsidR="00514373" w:rsidRPr="007532EC" w:rsidRDefault="00514373" w:rsidP="00F8640E">
      <w:pPr>
        <w:spacing w:line="240" w:lineRule="exact"/>
        <w:ind w:leftChars="542" w:left="1861" w:hangingChars="280" w:hanging="560"/>
        <w:rPr>
          <w:rFonts w:ascii="標楷體" w:eastAsia="標楷體" w:hAnsi="標楷體"/>
          <w:sz w:val="20"/>
          <w:szCs w:val="20"/>
        </w:rPr>
      </w:pPr>
      <w:r w:rsidRPr="007532EC">
        <w:rPr>
          <w:rFonts w:ascii="標楷體" w:eastAsia="標楷體" w:hAnsi="標楷體" w:hint="eastAsia"/>
          <w:sz w:val="20"/>
          <w:szCs w:val="20"/>
        </w:rPr>
        <w:t>註</w:t>
      </w:r>
      <w:r w:rsidRPr="007532EC">
        <w:rPr>
          <w:rFonts w:ascii="標楷體" w:eastAsia="標楷體" w:hAnsi="標楷體"/>
          <w:sz w:val="20"/>
          <w:szCs w:val="20"/>
        </w:rPr>
        <w:t>4</w:t>
      </w:r>
      <w:r w:rsidRPr="007532EC">
        <w:rPr>
          <w:rFonts w:ascii="標楷體" w:eastAsia="標楷體" w:hAnsi="標楷體" w:hint="eastAsia"/>
          <w:sz w:val="20"/>
          <w:szCs w:val="20"/>
        </w:rPr>
        <w:t>：「優先取得採購業務機會之女性中小企業」篩選條件，依經濟部中小企業處</w:t>
      </w:r>
      <w:r w:rsidRPr="007532EC">
        <w:rPr>
          <w:rFonts w:ascii="標楷體" w:eastAsia="標楷體" w:hAnsi="標楷體"/>
          <w:sz w:val="20"/>
          <w:szCs w:val="20"/>
        </w:rPr>
        <w:t>102</w:t>
      </w:r>
      <w:r w:rsidRPr="007532EC">
        <w:rPr>
          <w:rFonts w:ascii="標楷體" w:eastAsia="標楷體" w:hAnsi="標楷體" w:hint="eastAsia"/>
          <w:sz w:val="20"/>
          <w:szCs w:val="20"/>
        </w:rPr>
        <w:t>年</w:t>
      </w:r>
      <w:r w:rsidRPr="007532EC">
        <w:rPr>
          <w:rFonts w:ascii="標楷體" w:eastAsia="標楷體" w:hAnsi="標楷體"/>
          <w:sz w:val="20"/>
          <w:szCs w:val="20"/>
        </w:rPr>
        <w:t>3</w:t>
      </w:r>
      <w:r w:rsidRPr="007532EC">
        <w:rPr>
          <w:rFonts w:ascii="標楷體" w:eastAsia="標楷體" w:hAnsi="標楷體" w:hint="eastAsia"/>
          <w:sz w:val="20"/>
          <w:szCs w:val="20"/>
        </w:rPr>
        <w:t>月</w:t>
      </w:r>
      <w:r w:rsidRPr="007532EC">
        <w:rPr>
          <w:rFonts w:ascii="標楷體" w:eastAsia="標楷體" w:hAnsi="標楷體"/>
          <w:sz w:val="20"/>
          <w:szCs w:val="20"/>
        </w:rPr>
        <w:t>22</w:t>
      </w:r>
      <w:r w:rsidRPr="007532EC">
        <w:rPr>
          <w:rFonts w:ascii="標楷體" w:eastAsia="標楷體" w:hAnsi="標楷體" w:hint="eastAsia"/>
          <w:sz w:val="20"/>
          <w:szCs w:val="20"/>
        </w:rPr>
        <w:t>日「研議辦理女性企業參與政府採購性別統計事宜」會議結論，係指：中小企業之法定代表人為女性，且該企業符合下列要件之一：一、女性持有股權或出資額須達二分之一以上。二、依法登記之負責人及關係人二分之一以上為女性。</w:t>
      </w:r>
    </w:p>
    <w:p w:rsidR="00514373" w:rsidRPr="007532EC" w:rsidRDefault="00514373" w:rsidP="00F8640E">
      <w:pPr>
        <w:spacing w:line="240" w:lineRule="exact"/>
        <w:ind w:leftChars="542" w:left="1861" w:hangingChars="280" w:hanging="560"/>
        <w:rPr>
          <w:rFonts w:ascii="標楷體" w:eastAsia="標楷體" w:hAnsi="標楷體"/>
          <w:sz w:val="20"/>
          <w:szCs w:val="20"/>
        </w:rPr>
      </w:pPr>
      <w:r w:rsidRPr="007532EC">
        <w:rPr>
          <w:rFonts w:ascii="標楷體" w:eastAsia="標楷體" w:hAnsi="標楷體" w:hint="eastAsia"/>
          <w:sz w:val="20"/>
          <w:szCs w:val="20"/>
        </w:rPr>
        <w:t>註</w:t>
      </w:r>
      <w:r w:rsidRPr="007532EC">
        <w:rPr>
          <w:rFonts w:ascii="標楷體" w:eastAsia="標楷體" w:hAnsi="標楷體"/>
          <w:sz w:val="20"/>
          <w:szCs w:val="20"/>
        </w:rPr>
        <w:t>5</w:t>
      </w:r>
      <w:r w:rsidRPr="007532EC">
        <w:rPr>
          <w:rFonts w:ascii="標楷體" w:eastAsia="標楷體" w:hAnsi="標楷體" w:hint="eastAsia"/>
          <w:sz w:val="20"/>
          <w:szCs w:val="20"/>
        </w:rPr>
        <w:t>：工程會「政府電子採購網」之決標資料，自</w:t>
      </w:r>
      <w:r w:rsidRPr="007532EC">
        <w:rPr>
          <w:rFonts w:ascii="標楷體" w:eastAsia="標楷體" w:hAnsi="標楷體"/>
          <w:sz w:val="20"/>
          <w:szCs w:val="20"/>
        </w:rPr>
        <w:t>101</w:t>
      </w:r>
      <w:r w:rsidRPr="007532EC">
        <w:rPr>
          <w:rFonts w:ascii="標楷體" w:eastAsia="標楷體" w:hAnsi="標楷體" w:hint="eastAsia"/>
          <w:sz w:val="20"/>
          <w:szCs w:val="20"/>
        </w:rPr>
        <w:t>年</w:t>
      </w:r>
      <w:r w:rsidRPr="007532EC">
        <w:rPr>
          <w:rFonts w:ascii="標楷體" w:eastAsia="標楷體" w:hAnsi="標楷體"/>
          <w:sz w:val="20"/>
          <w:szCs w:val="20"/>
        </w:rPr>
        <w:t>6</w:t>
      </w:r>
      <w:r w:rsidRPr="007532EC">
        <w:rPr>
          <w:rFonts w:ascii="標楷體" w:eastAsia="標楷體" w:hAnsi="標楷體" w:hint="eastAsia"/>
          <w:sz w:val="20"/>
          <w:szCs w:val="20"/>
        </w:rPr>
        <w:t>月起可透過經濟部商業司「商工登記資料公示查詢系統」，取得得標廠商法定代表人之性別資料介接欄位，故可統計</w:t>
      </w:r>
      <w:r w:rsidRPr="007532EC">
        <w:rPr>
          <w:rFonts w:ascii="標楷體" w:eastAsia="標楷體" w:hAnsi="標楷體"/>
          <w:sz w:val="20"/>
          <w:szCs w:val="20"/>
        </w:rPr>
        <w:t>102</w:t>
      </w:r>
      <w:r w:rsidRPr="007532EC">
        <w:rPr>
          <w:rFonts w:ascii="標楷體" w:eastAsia="標楷體" w:hAnsi="標楷體" w:hint="eastAsia"/>
          <w:sz w:val="20"/>
          <w:szCs w:val="20"/>
        </w:rPr>
        <w:t>年及</w:t>
      </w:r>
      <w:r w:rsidRPr="007532EC">
        <w:rPr>
          <w:rFonts w:ascii="標楷體" w:eastAsia="標楷體" w:hAnsi="標楷體"/>
          <w:sz w:val="20"/>
          <w:szCs w:val="20"/>
        </w:rPr>
        <w:t>103</w:t>
      </w:r>
      <w:r w:rsidRPr="007532EC">
        <w:rPr>
          <w:rFonts w:ascii="標楷體" w:eastAsia="標楷體" w:hAnsi="標楷體" w:hint="eastAsia"/>
          <w:sz w:val="20"/>
          <w:szCs w:val="20"/>
        </w:rPr>
        <w:t>年女性企業及女性中小企業得標資料；另自</w:t>
      </w:r>
      <w:r w:rsidRPr="007532EC">
        <w:rPr>
          <w:rFonts w:ascii="標楷體" w:eastAsia="標楷體" w:hAnsi="標楷體"/>
          <w:sz w:val="20"/>
          <w:szCs w:val="20"/>
        </w:rPr>
        <w:t>102</w:t>
      </w:r>
      <w:r w:rsidRPr="007532EC">
        <w:rPr>
          <w:rFonts w:ascii="標楷體" w:eastAsia="標楷體" w:hAnsi="標楷體" w:hint="eastAsia"/>
          <w:sz w:val="20"/>
          <w:szCs w:val="20"/>
        </w:rPr>
        <w:t>年</w:t>
      </w:r>
      <w:r w:rsidRPr="007532EC">
        <w:rPr>
          <w:rFonts w:ascii="標楷體" w:eastAsia="標楷體" w:hAnsi="標楷體"/>
          <w:sz w:val="20"/>
          <w:szCs w:val="20"/>
        </w:rPr>
        <w:t>5</w:t>
      </w:r>
      <w:r w:rsidRPr="007532EC">
        <w:rPr>
          <w:rFonts w:ascii="標楷體" w:eastAsia="標楷體" w:hAnsi="標楷體" w:hint="eastAsia"/>
          <w:sz w:val="20"/>
          <w:szCs w:val="20"/>
        </w:rPr>
        <w:t>月</w:t>
      </w:r>
      <w:r w:rsidRPr="007532EC">
        <w:rPr>
          <w:rFonts w:ascii="標楷體" w:eastAsia="標楷體" w:hAnsi="標楷體"/>
          <w:sz w:val="20"/>
          <w:szCs w:val="20"/>
        </w:rPr>
        <w:t>17</w:t>
      </w:r>
      <w:r w:rsidRPr="007532EC">
        <w:rPr>
          <w:rFonts w:ascii="標楷體" w:eastAsia="標楷體" w:hAnsi="標楷體" w:hint="eastAsia"/>
          <w:sz w:val="20"/>
          <w:szCs w:val="20"/>
        </w:rPr>
        <w:t>日取得「優先取得採購業務機會之女性中小企業」之介接欄位，爰無</w:t>
      </w:r>
      <w:r w:rsidRPr="007532EC">
        <w:rPr>
          <w:rFonts w:ascii="標楷體" w:eastAsia="標楷體" w:hAnsi="標楷體"/>
          <w:sz w:val="20"/>
          <w:szCs w:val="20"/>
        </w:rPr>
        <w:t>102</w:t>
      </w:r>
      <w:r w:rsidRPr="007532EC">
        <w:rPr>
          <w:rFonts w:ascii="標楷體" w:eastAsia="標楷體" w:hAnsi="標楷體" w:hint="eastAsia"/>
          <w:sz w:val="20"/>
          <w:szCs w:val="20"/>
        </w:rPr>
        <w:t>年全年統計資料。</w:t>
      </w:r>
    </w:p>
    <w:p w:rsidR="00514373" w:rsidRPr="007532EC" w:rsidRDefault="00514373" w:rsidP="007532EC">
      <w:pPr>
        <w:spacing w:line="500" w:lineRule="exact"/>
        <w:ind w:firstLineChars="520" w:firstLine="1456"/>
        <w:jc w:val="both"/>
        <w:rPr>
          <w:rFonts w:ascii="標楷體" w:eastAsia="標楷體" w:hAnsi="標楷體"/>
          <w:sz w:val="28"/>
          <w:szCs w:val="28"/>
        </w:rPr>
      </w:pPr>
      <w:r w:rsidRPr="007532EC">
        <w:rPr>
          <w:rFonts w:eastAsia="標楷體" w:hint="eastAsia"/>
          <w:sz w:val="28"/>
          <w:szCs w:val="28"/>
        </w:rPr>
        <w:t>表</w:t>
      </w:r>
      <w:r w:rsidRPr="007532EC">
        <w:rPr>
          <w:rFonts w:eastAsia="標楷體"/>
          <w:sz w:val="28"/>
          <w:szCs w:val="28"/>
        </w:rPr>
        <w:t xml:space="preserve">2  </w:t>
      </w:r>
      <w:r w:rsidRPr="007532EC">
        <w:rPr>
          <w:rFonts w:eastAsia="標楷體" w:hint="eastAsia"/>
          <w:sz w:val="28"/>
          <w:szCs w:val="28"/>
        </w:rPr>
        <w:t>原住民族廠商得標案件統計表</w:t>
      </w:r>
    </w:p>
    <w:tbl>
      <w:tblPr>
        <w:tblpPr w:leftFromText="180" w:rightFromText="180" w:vertAnchor="text" w:horzAnchor="margin" w:tblpXSpec="right" w:tblpY="16"/>
        <w:tblW w:w="8788" w:type="dxa"/>
        <w:tblBorders>
          <w:top w:val="single" w:sz="8" w:space="0" w:color="auto"/>
          <w:left w:val="single" w:sz="4" w:space="0" w:color="auto"/>
          <w:bottom w:val="single" w:sz="8"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20"/>
        <w:gridCol w:w="748"/>
        <w:gridCol w:w="1440"/>
        <w:gridCol w:w="1920"/>
        <w:gridCol w:w="1320"/>
        <w:gridCol w:w="1320"/>
        <w:gridCol w:w="1320"/>
      </w:tblGrid>
      <w:tr w:rsidR="00514373" w:rsidRPr="007532EC" w:rsidTr="00C177CD">
        <w:trPr>
          <w:trHeight w:val="1249"/>
        </w:trPr>
        <w:tc>
          <w:tcPr>
            <w:tcW w:w="720" w:type="dxa"/>
            <w:tcBorders>
              <w:top w:val="single" w:sz="8" w:space="0" w:color="auto"/>
            </w:tcBorders>
            <w:vAlign w:val="center"/>
          </w:tcPr>
          <w:p w:rsidR="00514373" w:rsidRPr="007532EC" w:rsidRDefault="00514373" w:rsidP="0032567D">
            <w:pPr>
              <w:widowControl/>
              <w:spacing w:line="240" w:lineRule="exact"/>
              <w:jc w:val="center"/>
              <w:rPr>
                <w:rFonts w:ascii="標楷體" w:eastAsia="標楷體" w:hAnsi="標楷體" w:cs="Arial"/>
                <w:color w:val="000000"/>
                <w:kern w:val="0"/>
                <w:sz w:val="20"/>
                <w:szCs w:val="20"/>
              </w:rPr>
            </w:pPr>
            <w:r w:rsidRPr="007532EC">
              <w:rPr>
                <w:rFonts w:ascii="標楷體" w:eastAsia="標楷體" w:hAnsi="標楷體" w:cs="Arial" w:hint="eastAsia"/>
                <w:color w:val="000000"/>
                <w:kern w:val="0"/>
                <w:sz w:val="20"/>
                <w:szCs w:val="20"/>
              </w:rPr>
              <w:t>年度</w:t>
            </w:r>
          </w:p>
        </w:tc>
        <w:tc>
          <w:tcPr>
            <w:tcW w:w="748" w:type="dxa"/>
            <w:tcBorders>
              <w:top w:val="single" w:sz="8" w:space="0" w:color="auto"/>
            </w:tcBorders>
            <w:vAlign w:val="center"/>
          </w:tcPr>
          <w:p w:rsidR="00514373" w:rsidRPr="007532EC" w:rsidRDefault="00514373" w:rsidP="0032567D">
            <w:pPr>
              <w:widowControl/>
              <w:spacing w:line="240" w:lineRule="exact"/>
              <w:jc w:val="center"/>
              <w:rPr>
                <w:rFonts w:ascii="標楷體" w:eastAsia="標楷體" w:hAnsi="標楷體" w:cs="Arial"/>
                <w:color w:val="000000"/>
                <w:kern w:val="0"/>
                <w:sz w:val="20"/>
                <w:szCs w:val="20"/>
              </w:rPr>
            </w:pPr>
            <w:r w:rsidRPr="007532EC">
              <w:rPr>
                <w:rFonts w:ascii="標楷體" w:eastAsia="標楷體" w:hAnsi="標楷體" w:cs="Arial" w:hint="eastAsia"/>
                <w:color w:val="000000"/>
                <w:kern w:val="0"/>
                <w:sz w:val="20"/>
                <w:szCs w:val="20"/>
              </w:rPr>
              <w:t>總決標件數</w:t>
            </w:r>
          </w:p>
        </w:tc>
        <w:tc>
          <w:tcPr>
            <w:tcW w:w="1440" w:type="dxa"/>
            <w:tcBorders>
              <w:top w:val="single" w:sz="8" w:space="0" w:color="auto"/>
            </w:tcBorders>
            <w:vAlign w:val="center"/>
          </w:tcPr>
          <w:p w:rsidR="00514373" w:rsidRPr="007532EC" w:rsidRDefault="00514373" w:rsidP="0032567D">
            <w:pPr>
              <w:widowControl/>
              <w:spacing w:line="240" w:lineRule="exact"/>
              <w:jc w:val="center"/>
              <w:rPr>
                <w:rFonts w:ascii="標楷體" w:eastAsia="標楷體" w:hAnsi="標楷體" w:cs="Arial"/>
                <w:color w:val="000000"/>
                <w:kern w:val="0"/>
                <w:sz w:val="20"/>
                <w:szCs w:val="20"/>
              </w:rPr>
            </w:pPr>
            <w:r w:rsidRPr="007532EC">
              <w:rPr>
                <w:rFonts w:ascii="標楷體" w:eastAsia="標楷體" w:hAnsi="標楷體" w:cs="Arial" w:hint="eastAsia"/>
                <w:color w:val="000000"/>
                <w:kern w:val="0"/>
                <w:sz w:val="20"/>
                <w:szCs w:val="20"/>
              </w:rPr>
              <w:t>原住民廠商</w:t>
            </w:r>
          </w:p>
          <w:p w:rsidR="00514373" w:rsidRPr="007532EC" w:rsidRDefault="00514373" w:rsidP="0032567D">
            <w:pPr>
              <w:widowControl/>
              <w:spacing w:line="240" w:lineRule="exact"/>
              <w:jc w:val="center"/>
              <w:rPr>
                <w:rFonts w:ascii="標楷體" w:eastAsia="標楷體" w:hAnsi="標楷體" w:cs="Arial"/>
                <w:color w:val="000000"/>
                <w:kern w:val="0"/>
                <w:sz w:val="20"/>
                <w:szCs w:val="20"/>
              </w:rPr>
            </w:pPr>
            <w:r w:rsidRPr="007532EC">
              <w:rPr>
                <w:rFonts w:ascii="標楷體" w:eastAsia="標楷體" w:hAnsi="標楷體" w:cs="Arial" w:hint="eastAsia"/>
                <w:color w:val="000000"/>
                <w:kern w:val="0"/>
                <w:sz w:val="20"/>
                <w:szCs w:val="20"/>
              </w:rPr>
              <w:t>得標件數及占總決標件數</w:t>
            </w:r>
          </w:p>
          <w:p w:rsidR="00514373" w:rsidRPr="007532EC" w:rsidRDefault="00514373" w:rsidP="0032567D">
            <w:pPr>
              <w:widowControl/>
              <w:spacing w:line="240" w:lineRule="exact"/>
              <w:jc w:val="center"/>
              <w:rPr>
                <w:rFonts w:ascii="標楷體" w:eastAsia="標楷體" w:hAnsi="標楷體" w:cs="Arial"/>
                <w:color w:val="000000"/>
                <w:kern w:val="0"/>
                <w:sz w:val="20"/>
                <w:szCs w:val="20"/>
              </w:rPr>
            </w:pPr>
            <w:r w:rsidRPr="007532EC">
              <w:rPr>
                <w:rFonts w:ascii="標楷體" w:eastAsia="標楷體" w:hAnsi="標楷體" w:cs="Arial" w:hint="eastAsia"/>
                <w:color w:val="000000"/>
                <w:kern w:val="0"/>
                <w:sz w:val="20"/>
                <w:szCs w:val="20"/>
              </w:rPr>
              <w:t>比率</w:t>
            </w:r>
          </w:p>
        </w:tc>
        <w:tc>
          <w:tcPr>
            <w:tcW w:w="1920" w:type="dxa"/>
            <w:tcBorders>
              <w:top w:val="single" w:sz="8" w:space="0" w:color="auto"/>
            </w:tcBorders>
            <w:vAlign w:val="center"/>
          </w:tcPr>
          <w:p w:rsidR="00514373" w:rsidRPr="007532EC" w:rsidRDefault="00514373" w:rsidP="0032567D">
            <w:pPr>
              <w:widowControl/>
              <w:spacing w:line="240" w:lineRule="exact"/>
              <w:jc w:val="center"/>
              <w:rPr>
                <w:rFonts w:ascii="標楷體" w:eastAsia="標楷體" w:hAnsi="標楷體" w:cs="Arial"/>
                <w:color w:val="000000"/>
                <w:spacing w:val="-6"/>
                <w:kern w:val="0"/>
                <w:sz w:val="20"/>
                <w:szCs w:val="20"/>
              </w:rPr>
            </w:pPr>
            <w:r w:rsidRPr="007532EC">
              <w:rPr>
                <w:rFonts w:ascii="標楷體" w:eastAsia="標楷體" w:hAnsi="標楷體" w:cs="Arial" w:hint="eastAsia"/>
                <w:color w:val="000000"/>
                <w:spacing w:val="-6"/>
                <w:kern w:val="0"/>
                <w:sz w:val="20"/>
                <w:szCs w:val="20"/>
              </w:rPr>
              <w:t>女性原住民</w:t>
            </w:r>
          </w:p>
          <w:p w:rsidR="00514373" w:rsidRPr="007532EC" w:rsidRDefault="00514373" w:rsidP="0032567D">
            <w:pPr>
              <w:widowControl/>
              <w:spacing w:line="240" w:lineRule="exact"/>
              <w:jc w:val="center"/>
              <w:rPr>
                <w:rFonts w:ascii="標楷體" w:eastAsia="標楷體" w:hAnsi="標楷體" w:cs="Arial"/>
                <w:color w:val="000000"/>
                <w:spacing w:val="-6"/>
                <w:kern w:val="0"/>
                <w:sz w:val="20"/>
                <w:szCs w:val="20"/>
              </w:rPr>
            </w:pPr>
            <w:r w:rsidRPr="007532EC">
              <w:rPr>
                <w:rFonts w:ascii="標楷體" w:eastAsia="標楷體" w:hAnsi="標楷體" w:cs="Arial" w:hint="eastAsia"/>
                <w:color w:val="000000"/>
                <w:spacing w:val="-6"/>
                <w:kern w:val="0"/>
                <w:sz w:val="20"/>
                <w:szCs w:val="20"/>
              </w:rPr>
              <w:t>廠商得標件數及</w:t>
            </w:r>
          </w:p>
          <w:p w:rsidR="00514373" w:rsidRPr="007532EC" w:rsidRDefault="00514373" w:rsidP="0032567D">
            <w:pPr>
              <w:widowControl/>
              <w:spacing w:line="240" w:lineRule="exact"/>
              <w:jc w:val="center"/>
              <w:rPr>
                <w:rFonts w:ascii="標楷體" w:eastAsia="標楷體" w:hAnsi="標楷體" w:cs="Arial"/>
                <w:color w:val="000000"/>
                <w:kern w:val="0"/>
                <w:sz w:val="20"/>
                <w:szCs w:val="20"/>
              </w:rPr>
            </w:pPr>
            <w:r w:rsidRPr="007532EC">
              <w:rPr>
                <w:rFonts w:ascii="標楷體" w:eastAsia="標楷體" w:hAnsi="標楷體" w:cs="Arial" w:hint="eastAsia"/>
                <w:color w:val="000000"/>
                <w:spacing w:val="-6"/>
                <w:kern w:val="0"/>
                <w:sz w:val="20"/>
                <w:szCs w:val="20"/>
              </w:rPr>
              <w:t>占</w:t>
            </w:r>
            <w:r w:rsidRPr="007532EC">
              <w:rPr>
                <w:rFonts w:ascii="標楷體" w:eastAsia="標楷體" w:hAnsi="標楷體" w:cs="Arial" w:hint="eastAsia"/>
                <w:color w:val="000000"/>
                <w:kern w:val="0"/>
                <w:sz w:val="20"/>
                <w:szCs w:val="20"/>
              </w:rPr>
              <w:t>原住民廠商得標</w:t>
            </w:r>
          </w:p>
          <w:p w:rsidR="00514373" w:rsidRPr="007532EC" w:rsidRDefault="00514373" w:rsidP="0032567D">
            <w:pPr>
              <w:widowControl/>
              <w:spacing w:line="240" w:lineRule="exact"/>
              <w:jc w:val="center"/>
              <w:rPr>
                <w:rFonts w:ascii="標楷體" w:eastAsia="標楷體" w:hAnsi="標楷體" w:cs="Arial"/>
                <w:color w:val="000000"/>
                <w:kern w:val="0"/>
                <w:sz w:val="20"/>
                <w:szCs w:val="20"/>
              </w:rPr>
            </w:pPr>
            <w:r w:rsidRPr="007532EC">
              <w:rPr>
                <w:rFonts w:ascii="標楷體" w:eastAsia="標楷體" w:hAnsi="標楷體" w:cs="Arial" w:hint="eastAsia"/>
                <w:color w:val="000000"/>
                <w:kern w:val="0"/>
                <w:sz w:val="20"/>
                <w:szCs w:val="20"/>
              </w:rPr>
              <w:t>件數比率</w:t>
            </w:r>
          </w:p>
        </w:tc>
        <w:tc>
          <w:tcPr>
            <w:tcW w:w="1320" w:type="dxa"/>
            <w:tcBorders>
              <w:top w:val="single" w:sz="8" w:space="0" w:color="auto"/>
            </w:tcBorders>
            <w:vAlign w:val="center"/>
          </w:tcPr>
          <w:p w:rsidR="00514373" w:rsidRPr="007532EC" w:rsidRDefault="00514373" w:rsidP="0032567D">
            <w:pPr>
              <w:widowControl/>
              <w:spacing w:line="240" w:lineRule="exact"/>
              <w:jc w:val="center"/>
              <w:rPr>
                <w:rFonts w:ascii="標楷體" w:eastAsia="標楷體" w:hAnsi="標楷體" w:cs="Arial"/>
                <w:color w:val="000000"/>
                <w:kern w:val="0"/>
                <w:sz w:val="20"/>
                <w:szCs w:val="20"/>
              </w:rPr>
            </w:pPr>
            <w:r w:rsidRPr="007532EC">
              <w:rPr>
                <w:rFonts w:ascii="標楷體" w:eastAsia="標楷體" w:hAnsi="標楷體" w:cs="Arial" w:hint="eastAsia"/>
                <w:color w:val="000000"/>
                <w:kern w:val="0"/>
                <w:sz w:val="20"/>
                <w:szCs w:val="20"/>
              </w:rPr>
              <w:t>總決標金額</w:t>
            </w:r>
          </w:p>
          <w:p w:rsidR="00514373" w:rsidRPr="007532EC" w:rsidRDefault="00514373" w:rsidP="0032567D">
            <w:pPr>
              <w:widowControl/>
              <w:spacing w:line="240" w:lineRule="exact"/>
              <w:jc w:val="center"/>
              <w:rPr>
                <w:rFonts w:ascii="標楷體" w:eastAsia="標楷體" w:hAnsi="標楷體" w:cs="Arial"/>
                <w:color w:val="000000"/>
                <w:kern w:val="0"/>
                <w:sz w:val="20"/>
                <w:szCs w:val="20"/>
              </w:rPr>
            </w:pPr>
            <w:r w:rsidRPr="007532EC">
              <w:rPr>
                <w:rFonts w:ascii="標楷體" w:eastAsia="標楷體" w:hAnsi="標楷體" w:cs="Arial"/>
                <w:color w:val="000000"/>
                <w:kern w:val="0"/>
                <w:sz w:val="20"/>
                <w:szCs w:val="20"/>
              </w:rPr>
              <w:t>(</w:t>
            </w:r>
            <w:r w:rsidRPr="007532EC">
              <w:rPr>
                <w:rFonts w:ascii="標楷體" w:eastAsia="標楷體" w:hAnsi="標楷體" w:cs="Arial" w:hint="eastAsia"/>
                <w:color w:val="000000"/>
                <w:kern w:val="0"/>
                <w:sz w:val="20"/>
                <w:szCs w:val="20"/>
              </w:rPr>
              <w:t>新臺幣億元</w:t>
            </w:r>
            <w:r w:rsidRPr="007532EC">
              <w:rPr>
                <w:rFonts w:ascii="標楷體" w:eastAsia="標楷體" w:hAnsi="標楷體" w:cs="Arial"/>
                <w:color w:val="000000"/>
                <w:kern w:val="0"/>
                <w:sz w:val="20"/>
                <w:szCs w:val="20"/>
              </w:rPr>
              <w:t>)</w:t>
            </w:r>
          </w:p>
        </w:tc>
        <w:tc>
          <w:tcPr>
            <w:tcW w:w="1320" w:type="dxa"/>
            <w:tcBorders>
              <w:top w:val="single" w:sz="8" w:space="0" w:color="auto"/>
            </w:tcBorders>
            <w:vAlign w:val="center"/>
          </w:tcPr>
          <w:p w:rsidR="00514373" w:rsidRPr="007532EC" w:rsidRDefault="00514373" w:rsidP="0032567D">
            <w:pPr>
              <w:widowControl/>
              <w:spacing w:line="240" w:lineRule="exact"/>
              <w:jc w:val="center"/>
              <w:rPr>
                <w:rFonts w:ascii="標楷體" w:eastAsia="標楷體" w:hAnsi="標楷體" w:cs="Arial"/>
                <w:color w:val="000000"/>
                <w:kern w:val="0"/>
                <w:sz w:val="20"/>
                <w:szCs w:val="20"/>
              </w:rPr>
            </w:pPr>
            <w:r w:rsidRPr="007532EC">
              <w:rPr>
                <w:rFonts w:ascii="標楷體" w:eastAsia="標楷體" w:hAnsi="標楷體" w:cs="Arial" w:hint="eastAsia"/>
                <w:color w:val="000000"/>
                <w:kern w:val="0"/>
                <w:sz w:val="20"/>
                <w:szCs w:val="20"/>
              </w:rPr>
              <w:t>原住民廠商</w:t>
            </w:r>
            <w:r w:rsidRPr="007532EC">
              <w:rPr>
                <w:rFonts w:ascii="標楷體" w:eastAsia="標楷體" w:hAnsi="標楷體" w:cs="Arial"/>
                <w:color w:val="000000"/>
                <w:kern w:val="0"/>
                <w:sz w:val="20"/>
                <w:szCs w:val="20"/>
              </w:rPr>
              <w:br/>
            </w:r>
            <w:r w:rsidRPr="007532EC">
              <w:rPr>
                <w:rFonts w:ascii="標楷體" w:eastAsia="標楷體" w:hAnsi="標楷體" w:cs="Arial" w:hint="eastAsia"/>
                <w:color w:val="000000"/>
                <w:kern w:val="0"/>
                <w:sz w:val="20"/>
                <w:szCs w:val="20"/>
              </w:rPr>
              <w:t>得標金額及</w:t>
            </w:r>
          </w:p>
          <w:p w:rsidR="00514373" w:rsidRPr="007532EC" w:rsidRDefault="00514373" w:rsidP="0032567D">
            <w:pPr>
              <w:widowControl/>
              <w:spacing w:line="240" w:lineRule="exact"/>
              <w:jc w:val="center"/>
              <w:rPr>
                <w:rFonts w:ascii="標楷體" w:eastAsia="標楷體" w:hAnsi="標楷體" w:cs="Arial"/>
                <w:color w:val="000000"/>
                <w:kern w:val="0"/>
                <w:sz w:val="20"/>
                <w:szCs w:val="20"/>
              </w:rPr>
            </w:pPr>
            <w:r w:rsidRPr="007532EC">
              <w:rPr>
                <w:rFonts w:ascii="標楷體" w:eastAsia="標楷體" w:hAnsi="標楷體" w:cs="Arial" w:hint="eastAsia"/>
                <w:color w:val="000000"/>
                <w:kern w:val="0"/>
                <w:sz w:val="20"/>
                <w:szCs w:val="20"/>
              </w:rPr>
              <w:t>占總決標金額比率</w:t>
            </w:r>
          </w:p>
        </w:tc>
        <w:tc>
          <w:tcPr>
            <w:tcW w:w="1320" w:type="dxa"/>
            <w:tcBorders>
              <w:top w:val="single" w:sz="8" w:space="0" w:color="auto"/>
            </w:tcBorders>
            <w:vAlign w:val="center"/>
          </w:tcPr>
          <w:p w:rsidR="00514373" w:rsidRPr="007532EC" w:rsidRDefault="00514373" w:rsidP="0032567D">
            <w:pPr>
              <w:widowControl/>
              <w:spacing w:line="240" w:lineRule="exact"/>
              <w:jc w:val="center"/>
              <w:rPr>
                <w:rFonts w:ascii="標楷體" w:eastAsia="標楷體" w:hAnsi="標楷體" w:cs="Arial"/>
                <w:color w:val="000000"/>
                <w:kern w:val="0"/>
                <w:sz w:val="20"/>
                <w:szCs w:val="20"/>
              </w:rPr>
            </w:pPr>
            <w:r w:rsidRPr="007532EC">
              <w:rPr>
                <w:rFonts w:ascii="標楷體" w:eastAsia="標楷體" w:hAnsi="標楷體" w:cs="Arial" w:hint="eastAsia"/>
                <w:color w:val="000000"/>
                <w:kern w:val="0"/>
                <w:sz w:val="20"/>
                <w:szCs w:val="20"/>
              </w:rPr>
              <w:t>女性原住民廠商得標金額及</w:t>
            </w:r>
            <w:r w:rsidRPr="007532EC">
              <w:rPr>
                <w:rFonts w:ascii="標楷體" w:eastAsia="標楷體" w:hAnsi="標楷體" w:cs="Arial" w:hint="eastAsia"/>
                <w:color w:val="000000"/>
                <w:spacing w:val="-6"/>
                <w:kern w:val="0"/>
                <w:sz w:val="20"/>
                <w:szCs w:val="20"/>
              </w:rPr>
              <w:t>占</w:t>
            </w:r>
            <w:r w:rsidRPr="007532EC">
              <w:rPr>
                <w:rFonts w:ascii="標楷體" w:eastAsia="標楷體" w:hAnsi="標楷體" w:cs="Arial" w:hint="eastAsia"/>
                <w:color w:val="000000"/>
                <w:kern w:val="0"/>
                <w:sz w:val="20"/>
                <w:szCs w:val="20"/>
              </w:rPr>
              <w:t>原住民廠商得標金額比率</w:t>
            </w:r>
          </w:p>
        </w:tc>
      </w:tr>
      <w:tr w:rsidR="00514373" w:rsidRPr="007532EC" w:rsidTr="00C177CD">
        <w:trPr>
          <w:trHeight w:val="375"/>
        </w:trPr>
        <w:tc>
          <w:tcPr>
            <w:tcW w:w="720" w:type="dxa"/>
            <w:vAlign w:val="center"/>
          </w:tcPr>
          <w:p w:rsidR="00514373" w:rsidRPr="007532EC" w:rsidRDefault="00514373" w:rsidP="00F5686A">
            <w:pPr>
              <w:widowControl/>
              <w:jc w:val="center"/>
              <w:rPr>
                <w:rFonts w:ascii="Calibri" w:eastAsia="標楷體" w:hAnsi="Calibri"/>
                <w:color w:val="000000"/>
                <w:kern w:val="0"/>
                <w:sz w:val="20"/>
                <w:szCs w:val="20"/>
              </w:rPr>
            </w:pPr>
            <w:r w:rsidRPr="007532EC">
              <w:rPr>
                <w:rFonts w:ascii="Calibri" w:eastAsia="標楷體" w:hAnsi="Calibri"/>
                <w:color w:val="000000"/>
                <w:kern w:val="0"/>
                <w:sz w:val="20"/>
                <w:szCs w:val="20"/>
              </w:rPr>
              <w:t>102</w:t>
            </w:r>
          </w:p>
        </w:tc>
        <w:tc>
          <w:tcPr>
            <w:tcW w:w="748" w:type="dxa"/>
            <w:vAlign w:val="center"/>
          </w:tcPr>
          <w:p w:rsidR="00514373" w:rsidRPr="007532EC" w:rsidRDefault="00514373" w:rsidP="00F5686A">
            <w:pPr>
              <w:spacing w:line="240" w:lineRule="exact"/>
              <w:jc w:val="center"/>
              <w:rPr>
                <w:sz w:val="20"/>
                <w:szCs w:val="20"/>
              </w:rPr>
            </w:pPr>
            <w:r w:rsidRPr="007532EC">
              <w:rPr>
                <w:sz w:val="20"/>
                <w:szCs w:val="20"/>
              </w:rPr>
              <w:t>146,050</w:t>
            </w:r>
          </w:p>
        </w:tc>
        <w:tc>
          <w:tcPr>
            <w:tcW w:w="1440" w:type="dxa"/>
            <w:vAlign w:val="center"/>
          </w:tcPr>
          <w:p w:rsidR="00514373" w:rsidRPr="007532EC" w:rsidRDefault="00514373" w:rsidP="00F5686A">
            <w:pPr>
              <w:widowControl/>
              <w:jc w:val="center"/>
              <w:rPr>
                <w:rFonts w:ascii="Calibri" w:hAnsi="Calibri"/>
                <w:color w:val="000000"/>
                <w:kern w:val="0"/>
                <w:sz w:val="20"/>
                <w:szCs w:val="20"/>
              </w:rPr>
            </w:pPr>
            <w:r w:rsidRPr="007532EC">
              <w:rPr>
                <w:rFonts w:ascii="Calibri" w:hAnsi="Calibri"/>
                <w:color w:val="000000"/>
                <w:kern w:val="0"/>
                <w:sz w:val="20"/>
                <w:szCs w:val="20"/>
              </w:rPr>
              <w:t>1,577 (1.1%)</w:t>
            </w:r>
          </w:p>
        </w:tc>
        <w:tc>
          <w:tcPr>
            <w:tcW w:w="1920" w:type="dxa"/>
            <w:vAlign w:val="center"/>
          </w:tcPr>
          <w:p w:rsidR="00514373" w:rsidRPr="007532EC" w:rsidRDefault="00514373" w:rsidP="00F5686A">
            <w:pPr>
              <w:widowControl/>
              <w:jc w:val="center"/>
              <w:rPr>
                <w:rFonts w:ascii="Calibri" w:hAnsi="Calibri"/>
                <w:color w:val="000000"/>
                <w:kern w:val="0"/>
                <w:sz w:val="20"/>
                <w:szCs w:val="20"/>
              </w:rPr>
            </w:pPr>
            <w:r w:rsidRPr="007532EC">
              <w:rPr>
                <w:rFonts w:ascii="Calibri" w:hAnsi="Calibri"/>
                <w:color w:val="000000"/>
                <w:kern w:val="0"/>
                <w:sz w:val="20"/>
                <w:szCs w:val="20"/>
              </w:rPr>
              <w:t xml:space="preserve">788(50.0%) </w:t>
            </w:r>
          </w:p>
        </w:tc>
        <w:tc>
          <w:tcPr>
            <w:tcW w:w="1320" w:type="dxa"/>
            <w:vAlign w:val="center"/>
          </w:tcPr>
          <w:p w:rsidR="00514373" w:rsidRPr="007532EC" w:rsidRDefault="00514373" w:rsidP="00F5686A">
            <w:pPr>
              <w:spacing w:line="240" w:lineRule="exact"/>
              <w:jc w:val="center"/>
              <w:rPr>
                <w:sz w:val="20"/>
                <w:szCs w:val="20"/>
              </w:rPr>
            </w:pPr>
            <w:r w:rsidRPr="007532EC">
              <w:rPr>
                <w:sz w:val="20"/>
                <w:szCs w:val="20"/>
              </w:rPr>
              <w:t>9,335</w:t>
            </w:r>
          </w:p>
        </w:tc>
        <w:tc>
          <w:tcPr>
            <w:tcW w:w="1320" w:type="dxa"/>
            <w:vAlign w:val="center"/>
          </w:tcPr>
          <w:p w:rsidR="00514373" w:rsidRPr="007532EC" w:rsidRDefault="00514373" w:rsidP="00F5686A">
            <w:pPr>
              <w:widowControl/>
              <w:jc w:val="center"/>
              <w:rPr>
                <w:rFonts w:ascii="Calibri" w:hAnsi="Calibri"/>
                <w:color w:val="000000"/>
                <w:kern w:val="0"/>
                <w:sz w:val="20"/>
                <w:szCs w:val="20"/>
              </w:rPr>
            </w:pPr>
            <w:r w:rsidRPr="007532EC">
              <w:rPr>
                <w:rFonts w:ascii="Calibri" w:hAnsi="Calibri"/>
                <w:color w:val="000000"/>
                <w:kern w:val="0"/>
                <w:sz w:val="20"/>
                <w:szCs w:val="20"/>
              </w:rPr>
              <w:t>13.1(0.1%)</w:t>
            </w:r>
          </w:p>
        </w:tc>
        <w:tc>
          <w:tcPr>
            <w:tcW w:w="1320" w:type="dxa"/>
            <w:vAlign w:val="center"/>
          </w:tcPr>
          <w:p w:rsidR="00514373" w:rsidRPr="007532EC" w:rsidRDefault="00514373" w:rsidP="00F5686A">
            <w:pPr>
              <w:widowControl/>
              <w:jc w:val="center"/>
              <w:rPr>
                <w:rFonts w:ascii="Calibri" w:hAnsi="Calibri"/>
                <w:color w:val="000000"/>
                <w:kern w:val="0"/>
                <w:sz w:val="20"/>
                <w:szCs w:val="20"/>
              </w:rPr>
            </w:pPr>
            <w:r w:rsidRPr="007532EC">
              <w:rPr>
                <w:rFonts w:ascii="Calibri" w:hAnsi="Calibri"/>
                <w:color w:val="000000"/>
                <w:kern w:val="0"/>
                <w:sz w:val="20"/>
                <w:szCs w:val="20"/>
              </w:rPr>
              <w:t>6.5(49.6%)</w:t>
            </w:r>
          </w:p>
        </w:tc>
      </w:tr>
      <w:tr w:rsidR="00514373" w:rsidRPr="007532EC" w:rsidTr="00C177CD">
        <w:trPr>
          <w:trHeight w:val="358"/>
        </w:trPr>
        <w:tc>
          <w:tcPr>
            <w:tcW w:w="720" w:type="dxa"/>
            <w:tcBorders>
              <w:bottom w:val="single" w:sz="8" w:space="0" w:color="auto"/>
            </w:tcBorders>
            <w:vAlign w:val="center"/>
          </w:tcPr>
          <w:p w:rsidR="00514373" w:rsidRPr="007532EC" w:rsidRDefault="00514373" w:rsidP="00F5686A">
            <w:pPr>
              <w:widowControl/>
              <w:jc w:val="center"/>
              <w:rPr>
                <w:rFonts w:ascii="Calibri" w:eastAsia="標楷體" w:hAnsi="Calibri"/>
                <w:color w:val="000000"/>
                <w:kern w:val="0"/>
                <w:sz w:val="20"/>
                <w:szCs w:val="20"/>
              </w:rPr>
            </w:pPr>
            <w:r w:rsidRPr="007532EC">
              <w:rPr>
                <w:rFonts w:ascii="Calibri" w:eastAsia="標楷體" w:hAnsi="Calibri"/>
                <w:color w:val="000000"/>
                <w:kern w:val="0"/>
                <w:sz w:val="20"/>
                <w:szCs w:val="20"/>
              </w:rPr>
              <w:t>103</w:t>
            </w:r>
          </w:p>
        </w:tc>
        <w:tc>
          <w:tcPr>
            <w:tcW w:w="748" w:type="dxa"/>
            <w:tcBorders>
              <w:bottom w:val="single" w:sz="8" w:space="0" w:color="auto"/>
            </w:tcBorders>
            <w:vAlign w:val="center"/>
          </w:tcPr>
          <w:p w:rsidR="00514373" w:rsidRPr="007532EC" w:rsidRDefault="00514373" w:rsidP="00F5686A">
            <w:pPr>
              <w:spacing w:line="240" w:lineRule="exact"/>
              <w:jc w:val="center"/>
              <w:rPr>
                <w:sz w:val="20"/>
                <w:szCs w:val="20"/>
              </w:rPr>
            </w:pPr>
            <w:r w:rsidRPr="007532EC">
              <w:rPr>
                <w:sz w:val="20"/>
                <w:szCs w:val="20"/>
              </w:rPr>
              <w:t>151,114</w:t>
            </w:r>
          </w:p>
        </w:tc>
        <w:tc>
          <w:tcPr>
            <w:tcW w:w="1440" w:type="dxa"/>
            <w:tcBorders>
              <w:bottom w:val="single" w:sz="8" w:space="0" w:color="auto"/>
            </w:tcBorders>
            <w:vAlign w:val="center"/>
          </w:tcPr>
          <w:p w:rsidR="00514373" w:rsidRPr="007532EC" w:rsidRDefault="00514373" w:rsidP="00F5686A">
            <w:pPr>
              <w:widowControl/>
              <w:jc w:val="center"/>
              <w:rPr>
                <w:rFonts w:ascii="Calibri" w:hAnsi="Calibri"/>
                <w:color w:val="000000"/>
                <w:kern w:val="0"/>
                <w:sz w:val="20"/>
                <w:szCs w:val="20"/>
              </w:rPr>
            </w:pPr>
            <w:r w:rsidRPr="007532EC">
              <w:rPr>
                <w:rFonts w:ascii="Calibri" w:hAnsi="Calibri"/>
                <w:color w:val="000000"/>
                <w:kern w:val="0"/>
                <w:sz w:val="20"/>
                <w:szCs w:val="20"/>
              </w:rPr>
              <w:t xml:space="preserve">1,483(1.0%) </w:t>
            </w:r>
          </w:p>
        </w:tc>
        <w:tc>
          <w:tcPr>
            <w:tcW w:w="1920" w:type="dxa"/>
            <w:tcBorders>
              <w:bottom w:val="single" w:sz="8" w:space="0" w:color="auto"/>
            </w:tcBorders>
            <w:vAlign w:val="center"/>
          </w:tcPr>
          <w:p w:rsidR="00514373" w:rsidRPr="007532EC" w:rsidRDefault="00514373" w:rsidP="00F5686A">
            <w:pPr>
              <w:widowControl/>
              <w:jc w:val="center"/>
              <w:rPr>
                <w:rFonts w:ascii="Calibri" w:hAnsi="Calibri"/>
                <w:color w:val="000000"/>
                <w:kern w:val="0"/>
                <w:sz w:val="20"/>
                <w:szCs w:val="20"/>
              </w:rPr>
            </w:pPr>
            <w:r w:rsidRPr="007532EC">
              <w:rPr>
                <w:rFonts w:ascii="Calibri" w:hAnsi="Calibri"/>
                <w:color w:val="000000"/>
                <w:kern w:val="0"/>
                <w:sz w:val="20"/>
                <w:szCs w:val="20"/>
              </w:rPr>
              <w:t xml:space="preserve">710(47.9%) </w:t>
            </w:r>
          </w:p>
        </w:tc>
        <w:tc>
          <w:tcPr>
            <w:tcW w:w="1320" w:type="dxa"/>
            <w:tcBorders>
              <w:bottom w:val="single" w:sz="8" w:space="0" w:color="auto"/>
            </w:tcBorders>
            <w:vAlign w:val="center"/>
          </w:tcPr>
          <w:p w:rsidR="00514373" w:rsidRPr="007532EC" w:rsidRDefault="00514373" w:rsidP="00F5686A">
            <w:pPr>
              <w:spacing w:line="240" w:lineRule="exact"/>
              <w:jc w:val="center"/>
              <w:rPr>
                <w:sz w:val="20"/>
                <w:szCs w:val="20"/>
              </w:rPr>
            </w:pPr>
            <w:r w:rsidRPr="007532EC">
              <w:rPr>
                <w:sz w:val="20"/>
                <w:szCs w:val="20"/>
              </w:rPr>
              <w:t>8,412</w:t>
            </w:r>
          </w:p>
        </w:tc>
        <w:tc>
          <w:tcPr>
            <w:tcW w:w="1320" w:type="dxa"/>
            <w:tcBorders>
              <w:bottom w:val="single" w:sz="8" w:space="0" w:color="auto"/>
            </w:tcBorders>
            <w:vAlign w:val="center"/>
          </w:tcPr>
          <w:p w:rsidR="00514373" w:rsidRPr="007532EC" w:rsidRDefault="00514373" w:rsidP="00F5686A">
            <w:pPr>
              <w:widowControl/>
              <w:jc w:val="center"/>
              <w:rPr>
                <w:rFonts w:ascii="Calibri" w:hAnsi="Calibri"/>
                <w:color w:val="000000"/>
                <w:kern w:val="0"/>
                <w:sz w:val="20"/>
                <w:szCs w:val="20"/>
              </w:rPr>
            </w:pPr>
            <w:r w:rsidRPr="007532EC">
              <w:rPr>
                <w:rFonts w:ascii="Calibri" w:hAnsi="Calibri"/>
                <w:color w:val="000000"/>
                <w:kern w:val="0"/>
                <w:sz w:val="20"/>
                <w:szCs w:val="20"/>
              </w:rPr>
              <w:t>11.3(0.1%)</w:t>
            </w:r>
          </w:p>
        </w:tc>
        <w:tc>
          <w:tcPr>
            <w:tcW w:w="1320" w:type="dxa"/>
            <w:tcBorders>
              <w:bottom w:val="single" w:sz="8" w:space="0" w:color="auto"/>
            </w:tcBorders>
            <w:vAlign w:val="center"/>
          </w:tcPr>
          <w:p w:rsidR="00514373" w:rsidRPr="007532EC" w:rsidRDefault="00514373" w:rsidP="00F5686A">
            <w:pPr>
              <w:widowControl/>
              <w:jc w:val="center"/>
              <w:rPr>
                <w:rFonts w:ascii="Calibri" w:hAnsi="Calibri"/>
                <w:color w:val="000000"/>
                <w:kern w:val="0"/>
                <w:sz w:val="20"/>
                <w:szCs w:val="20"/>
              </w:rPr>
            </w:pPr>
            <w:r w:rsidRPr="007532EC">
              <w:rPr>
                <w:rFonts w:ascii="Calibri" w:hAnsi="Calibri"/>
                <w:color w:val="000000"/>
                <w:kern w:val="0"/>
                <w:sz w:val="20"/>
                <w:szCs w:val="20"/>
              </w:rPr>
              <w:t>5.2(46.0%)</w:t>
            </w:r>
          </w:p>
        </w:tc>
      </w:tr>
    </w:tbl>
    <w:p w:rsidR="00514373" w:rsidRPr="007532EC" w:rsidRDefault="00514373" w:rsidP="00BA3F65">
      <w:pPr>
        <w:spacing w:line="240" w:lineRule="exact"/>
        <w:ind w:left="486" w:rightChars="-214" w:right="-514" w:hangingChars="270" w:hanging="486"/>
        <w:rPr>
          <w:rFonts w:ascii="標楷體" w:eastAsia="標楷體" w:hAnsi="標楷體"/>
          <w:sz w:val="18"/>
          <w:szCs w:val="18"/>
        </w:rPr>
      </w:pPr>
    </w:p>
    <w:p w:rsidR="00514373" w:rsidRPr="007532EC" w:rsidRDefault="00514373" w:rsidP="00BA3F65">
      <w:pPr>
        <w:spacing w:line="240" w:lineRule="exact"/>
        <w:ind w:left="486" w:rightChars="-214" w:right="-514" w:hangingChars="270" w:hanging="486"/>
        <w:rPr>
          <w:rFonts w:ascii="標楷體" w:eastAsia="標楷體" w:hAnsi="標楷體"/>
          <w:sz w:val="18"/>
          <w:szCs w:val="18"/>
        </w:rPr>
      </w:pPr>
    </w:p>
    <w:p w:rsidR="00514373" w:rsidRPr="007532EC" w:rsidRDefault="00514373" w:rsidP="00BA3F65">
      <w:pPr>
        <w:spacing w:line="240" w:lineRule="exact"/>
        <w:ind w:left="486" w:rightChars="-214" w:right="-514" w:hangingChars="270" w:hanging="486"/>
        <w:rPr>
          <w:rFonts w:ascii="標楷體" w:eastAsia="標楷體" w:hAnsi="標楷體"/>
          <w:sz w:val="18"/>
          <w:szCs w:val="18"/>
        </w:rPr>
      </w:pPr>
    </w:p>
    <w:p w:rsidR="00514373" w:rsidRPr="007532EC" w:rsidRDefault="00514373" w:rsidP="00BA3F65">
      <w:pPr>
        <w:spacing w:line="240" w:lineRule="exact"/>
        <w:ind w:left="486" w:rightChars="-214" w:right="-514" w:hangingChars="270" w:hanging="486"/>
        <w:rPr>
          <w:rFonts w:ascii="標楷體" w:eastAsia="標楷體" w:hAnsi="標楷體"/>
          <w:sz w:val="18"/>
          <w:szCs w:val="18"/>
        </w:rPr>
      </w:pPr>
    </w:p>
    <w:p w:rsidR="00514373" w:rsidRPr="007532EC" w:rsidRDefault="00514373" w:rsidP="00BA3F65">
      <w:pPr>
        <w:spacing w:line="240" w:lineRule="exact"/>
        <w:ind w:left="486" w:rightChars="-214" w:right="-514" w:hangingChars="270" w:hanging="486"/>
        <w:rPr>
          <w:rFonts w:ascii="標楷體" w:eastAsia="標楷體" w:hAnsi="標楷體"/>
          <w:sz w:val="18"/>
          <w:szCs w:val="18"/>
        </w:rPr>
      </w:pPr>
    </w:p>
    <w:p w:rsidR="00514373" w:rsidRPr="007532EC" w:rsidRDefault="00514373" w:rsidP="00BA3F65">
      <w:pPr>
        <w:spacing w:line="240" w:lineRule="exact"/>
        <w:ind w:left="486" w:rightChars="-214" w:right="-514" w:hangingChars="270" w:hanging="486"/>
        <w:rPr>
          <w:rFonts w:ascii="標楷體" w:eastAsia="標楷體" w:hAnsi="標楷體"/>
          <w:sz w:val="18"/>
          <w:szCs w:val="18"/>
        </w:rPr>
      </w:pPr>
    </w:p>
    <w:p w:rsidR="00514373" w:rsidRPr="007532EC" w:rsidRDefault="00514373" w:rsidP="00BA3F65">
      <w:pPr>
        <w:spacing w:line="240" w:lineRule="exact"/>
        <w:ind w:left="486" w:rightChars="-214" w:right="-514" w:hangingChars="270" w:hanging="486"/>
        <w:rPr>
          <w:rFonts w:ascii="標楷體" w:eastAsia="標楷體" w:hAnsi="標楷體"/>
          <w:sz w:val="18"/>
          <w:szCs w:val="18"/>
        </w:rPr>
      </w:pPr>
    </w:p>
    <w:p w:rsidR="00514373" w:rsidRPr="007532EC" w:rsidRDefault="00514373" w:rsidP="00BA3F65">
      <w:pPr>
        <w:spacing w:line="240" w:lineRule="exact"/>
        <w:ind w:left="486" w:rightChars="-214" w:right="-514" w:hangingChars="270" w:hanging="486"/>
        <w:rPr>
          <w:rFonts w:ascii="標楷體" w:eastAsia="標楷體" w:hAnsi="標楷體"/>
          <w:sz w:val="18"/>
          <w:szCs w:val="18"/>
        </w:rPr>
      </w:pPr>
    </w:p>
    <w:p w:rsidR="00514373" w:rsidRPr="007532EC" w:rsidRDefault="00514373" w:rsidP="00BA3F65">
      <w:pPr>
        <w:spacing w:line="240" w:lineRule="exact"/>
        <w:ind w:left="486" w:rightChars="-214" w:right="-514" w:hangingChars="270" w:hanging="486"/>
        <w:rPr>
          <w:rFonts w:ascii="標楷體" w:eastAsia="標楷體" w:hAnsi="標楷體"/>
          <w:sz w:val="18"/>
          <w:szCs w:val="18"/>
        </w:rPr>
      </w:pPr>
    </w:p>
    <w:p w:rsidR="00514373" w:rsidRPr="007532EC" w:rsidRDefault="00514373" w:rsidP="00374CAA">
      <w:pPr>
        <w:spacing w:line="240" w:lineRule="exact"/>
        <w:ind w:leftChars="549" w:left="1678" w:rightChars="15" w:right="36" w:hangingChars="200" w:hanging="360"/>
        <w:rPr>
          <w:rFonts w:ascii="標楷體" w:eastAsia="標楷體" w:hAnsi="標楷體"/>
          <w:sz w:val="18"/>
          <w:szCs w:val="18"/>
        </w:rPr>
      </w:pPr>
      <w:r w:rsidRPr="007532EC">
        <w:rPr>
          <w:rFonts w:ascii="標楷體" w:eastAsia="標楷體" w:hAnsi="標楷體" w:hint="eastAsia"/>
          <w:sz w:val="18"/>
          <w:szCs w:val="18"/>
        </w:rPr>
        <w:t>註</w:t>
      </w:r>
      <w:r w:rsidRPr="007532EC">
        <w:rPr>
          <w:rFonts w:ascii="標楷體" w:eastAsia="標楷體" w:hAnsi="標楷體"/>
          <w:sz w:val="18"/>
          <w:szCs w:val="18"/>
        </w:rPr>
        <w:t>1</w:t>
      </w:r>
      <w:r w:rsidRPr="007532EC">
        <w:rPr>
          <w:rFonts w:ascii="標楷體" w:eastAsia="標楷體" w:hAnsi="標楷體" w:hint="eastAsia"/>
          <w:sz w:val="18"/>
          <w:szCs w:val="18"/>
        </w:rPr>
        <w:t>：原住民廠商係由行政院原住民族委員會全球資訊網公告核發「原住民機構、法人或團體證明書」清冊彙整成原住民族企業清單，再與政府電子採購網決標公告得標廠商名稱比對相同者而得。</w:t>
      </w:r>
    </w:p>
    <w:p w:rsidR="00514373" w:rsidRPr="007532EC" w:rsidRDefault="00514373" w:rsidP="00BA3F65">
      <w:pPr>
        <w:spacing w:line="240" w:lineRule="exact"/>
        <w:ind w:leftChars="550" w:left="1799" w:rightChars="-214" w:right="-514" w:hangingChars="266" w:hanging="479"/>
        <w:rPr>
          <w:rFonts w:ascii="標楷體" w:eastAsia="標楷體" w:hAnsi="標楷體"/>
          <w:sz w:val="18"/>
          <w:szCs w:val="18"/>
        </w:rPr>
      </w:pPr>
      <w:r w:rsidRPr="007532EC">
        <w:rPr>
          <w:rFonts w:ascii="標楷體" w:eastAsia="標楷體" w:hAnsi="標楷體" w:hint="eastAsia"/>
          <w:sz w:val="18"/>
          <w:szCs w:val="18"/>
        </w:rPr>
        <w:t>註</w:t>
      </w:r>
      <w:r w:rsidRPr="007532EC">
        <w:rPr>
          <w:rFonts w:ascii="標楷體" w:eastAsia="標楷體" w:hAnsi="標楷體"/>
          <w:sz w:val="18"/>
          <w:szCs w:val="18"/>
        </w:rPr>
        <w:t>2</w:t>
      </w:r>
      <w:r w:rsidRPr="007532EC">
        <w:rPr>
          <w:rFonts w:ascii="標楷體" w:eastAsia="標楷體" w:hAnsi="標楷體" w:hint="eastAsia"/>
          <w:sz w:val="18"/>
          <w:szCs w:val="18"/>
        </w:rPr>
        <w:t>：本統計所稱「女性原住民廠商」，指法定代表人為女性之原住民廠商。</w:t>
      </w:r>
    </w:p>
    <w:p w:rsidR="00514373" w:rsidRPr="007532EC" w:rsidRDefault="00514373" w:rsidP="007532EC">
      <w:pPr>
        <w:spacing w:line="480" w:lineRule="exact"/>
        <w:ind w:leftChars="550" w:left="2065" w:hangingChars="266" w:hanging="745"/>
        <w:rPr>
          <w:rFonts w:ascii="標楷體" w:eastAsia="標楷體" w:hAnsi="標楷體"/>
          <w:sz w:val="28"/>
          <w:szCs w:val="28"/>
        </w:rPr>
      </w:pPr>
      <w:r w:rsidRPr="007532EC">
        <w:rPr>
          <w:rFonts w:ascii="標楷體" w:eastAsia="標楷體" w:hAnsi="標楷體"/>
          <w:sz w:val="28"/>
          <w:szCs w:val="28"/>
        </w:rPr>
        <w:t>(</w:t>
      </w:r>
      <w:r w:rsidRPr="007532EC">
        <w:rPr>
          <w:rFonts w:ascii="標楷體" w:eastAsia="標楷體" w:hAnsi="標楷體" w:hint="eastAsia"/>
          <w:sz w:val="28"/>
          <w:szCs w:val="28"/>
        </w:rPr>
        <w:t>六</w:t>
      </w:r>
      <w:r w:rsidRPr="007532EC">
        <w:rPr>
          <w:rFonts w:ascii="標楷體" w:eastAsia="標楷體" w:hAnsi="標楷體"/>
          <w:sz w:val="28"/>
          <w:szCs w:val="28"/>
        </w:rPr>
        <w:t>)</w:t>
      </w:r>
      <w:r w:rsidRPr="007532EC">
        <w:rPr>
          <w:rFonts w:ascii="標楷體" w:eastAsia="標楷體" w:hAnsi="標楷體" w:hint="eastAsia"/>
          <w:sz w:val="28"/>
          <w:szCs w:val="28"/>
        </w:rPr>
        <w:t>結論</w:t>
      </w:r>
    </w:p>
    <w:p w:rsidR="00514373" w:rsidRPr="007532EC" w:rsidRDefault="00514373" w:rsidP="00F5686A">
      <w:pPr>
        <w:spacing w:line="480" w:lineRule="exact"/>
        <w:ind w:leftChars="649" w:left="1796" w:hangingChars="85" w:hanging="238"/>
        <w:rPr>
          <w:rFonts w:ascii="標楷體" w:eastAsia="標楷體" w:hAnsi="標楷體"/>
          <w:sz w:val="28"/>
          <w:szCs w:val="28"/>
        </w:rPr>
      </w:pPr>
      <w:r w:rsidRPr="007532EC">
        <w:rPr>
          <w:rFonts w:ascii="標楷體" w:eastAsia="標楷體" w:hAnsi="標楷體"/>
          <w:sz w:val="28"/>
          <w:szCs w:val="28"/>
        </w:rPr>
        <w:t>1.</w:t>
      </w:r>
      <w:r w:rsidRPr="007532EC">
        <w:rPr>
          <w:rFonts w:ascii="標楷體" w:eastAsia="標楷體" w:hAnsi="標楷體" w:hint="eastAsia"/>
          <w:sz w:val="28"/>
          <w:szCs w:val="28"/>
        </w:rPr>
        <w:t>從表</w:t>
      </w:r>
      <w:r w:rsidRPr="007532EC">
        <w:rPr>
          <w:rFonts w:ascii="標楷體" w:eastAsia="標楷體" w:hAnsi="標楷體"/>
          <w:sz w:val="28"/>
          <w:szCs w:val="28"/>
        </w:rPr>
        <w:t>1</w:t>
      </w:r>
      <w:r w:rsidRPr="007532EC">
        <w:rPr>
          <w:rFonts w:ascii="標楷體" w:eastAsia="標楷體" w:hAnsi="標楷體" w:hint="eastAsia"/>
          <w:sz w:val="28"/>
          <w:szCs w:val="28"/>
        </w:rPr>
        <w:t>之統計資料分析，</w:t>
      </w:r>
      <w:r w:rsidRPr="007532EC">
        <w:rPr>
          <w:rFonts w:ascii="標楷體" w:eastAsia="標楷體" w:hAnsi="標楷體"/>
          <w:sz w:val="28"/>
          <w:szCs w:val="28"/>
        </w:rPr>
        <w:t>103</w:t>
      </w:r>
      <w:r w:rsidRPr="007532EC">
        <w:rPr>
          <w:rFonts w:ascii="標楷體" w:eastAsia="標楷體" w:hAnsi="標楷體" w:hint="eastAsia"/>
          <w:sz w:val="28"/>
          <w:szCs w:val="28"/>
        </w:rPr>
        <w:t>年「優先取得採購業務機會之女性中小企業」得標之件數及金額比率分別為</w:t>
      </w:r>
      <w:r w:rsidRPr="007532EC">
        <w:rPr>
          <w:rFonts w:ascii="標楷體" w:eastAsia="標楷體" w:hAnsi="標楷體"/>
          <w:sz w:val="28"/>
          <w:szCs w:val="28"/>
        </w:rPr>
        <w:t>22.9%</w:t>
      </w:r>
      <w:r w:rsidRPr="007532EC">
        <w:rPr>
          <w:rFonts w:ascii="標楷體" w:eastAsia="標楷體" w:hAnsi="標楷體" w:hint="eastAsia"/>
          <w:sz w:val="28"/>
          <w:szCs w:val="28"/>
        </w:rPr>
        <w:t>及</w:t>
      </w:r>
      <w:r w:rsidRPr="007532EC">
        <w:rPr>
          <w:rFonts w:ascii="標楷體" w:eastAsia="標楷體" w:hAnsi="標楷體"/>
          <w:sz w:val="28"/>
          <w:szCs w:val="28"/>
        </w:rPr>
        <w:t>14.0%</w:t>
      </w:r>
      <w:r w:rsidRPr="007532EC">
        <w:rPr>
          <w:rFonts w:ascii="標楷體" w:eastAsia="標楷體" w:hAnsi="標楷體" w:hint="eastAsia"/>
          <w:sz w:val="28"/>
          <w:szCs w:val="28"/>
        </w:rPr>
        <w:t>，相較於美國立法保障女性小型企業每年得標金額或分包金額不得低於政府採購總金額之</w:t>
      </w:r>
      <w:r w:rsidRPr="007532EC">
        <w:rPr>
          <w:rFonts w:ascii="標楷體" w:eastAsia="標楷體" w:hAnsi="標楷體"/>
          <w:sz w:val="28"/>
          <w:szCs w:val="28"/>
        </w:rPr>
        <w:t>5%</w:t>
      </w:r>
      <w:r w:rsidRPr="007532EC">
        <w:rPr>
          <w:rFonts w:ascii="標楷體" w:eastAsia="標楷體" w:hAnsi="標楷體" w:hint="eastAsia"/>
          <w:sz w:val="28"/>
          <w:szCs w:val="28"/>
        </w:rPr>
        <w:t>，以及韓國立法保障優先採購女性企業物品或勞務</w:t>
      </w:r>
      <w:r w:rsidRPr="007532EC">
        <w:rPr>
          <w:rFonts w:ascii="標楷體" w:eastAsia="標楷體" w:hAnsi="標楷體"/>
          <w:sz w:val="28"/>
          <w:szCs w:val="28"/>
        </w:rPr>
        <w:t>5%</w:t>
      </w:r>
      <w:r w:rsidRPr="007532EC">
        <w:rPr>
          <w:rFonts w:ascii="標楷體" w:eastAsia="標楷體" w:hAnsi="標楷體" w:hint="eastAsia"/>
          <w:sz w:val="28"/>
          <w:szCs w:val="28"/>
        </w:rPr>
        <w:t>以上，我國目前「優先取得採購業務機會之女性中小企業」取得採購機會之情形，已比美、韓所定保護門檻為高。</w:t>
      </w:r>
    </w:p>
    <w:p w:rsidR="00514373" w:rsidRPr="007532EC" w:rsidRDefault="00514373" w:rsidP="00F5686A">
      <w:pPr>
        <w:spacing w:line="480" w:lineRule="exact"/>
        <w:ind w:leftChars="650" w:left="1840" w:hangingChars="100" w:hanging="280"/>
        <w:rPr>
          <w:rFonts w:ascii="標楷體" w:eastAsia="標楷體" w:hAnsi="標楷體"/>
          <w:sz w:val="28"/>
          <w:szCs w:val="28"/>
        </w:rPr>
      </w:pPr>
      <w:r w:rsidRPr="007532EC">
        <w:rPr>
          <w:rFonts w:ascii="標楷體" w:eastAsia="標楷體" w:hAnsi="標楷體"/>
          <w:sz w:val="28"/>
          <w:szCs w:val="28"/>
        </w:rPr>
        <w:t>2.</w:t>
      </w:r>
      <w:r w:rsidRPr="007532EC">
        <w:rPr>
          <w:rFonts w:ascii="標楷體" w:eastAsia="標楷體" w:hAnsi="標楷體" w:hint="eastAsia"/>
          <w:sz w:val="28"/>
          <w:szCs w:val="28"/>
        </w:rPr>
        <w:t>我國目前政府採購制度中立法保護之對象，一為身心障礙者權益保障法第</w:t>
      </w:r>
      <w:r w:rsidRPr="007532EC">
        <w:rPr>
          <w:rFonts w:ascii="標楷體" w:eastAsia="標楷體" w:hAnsi="標楷體"/>
          <w:sz w:val="28"/>
          <w:szCs w:val="28"/>
        </w:rPr>
        <w:t>69</w:t>
      </w:r>
      <w:r w:rsidRPr="007532EC">
        <w:rPr>
          <w:rFonts w:ascii="標楷體" w:eastAsia="標楷體" w:hAnsi="標楷體" w:hint="eastAsia"/>
          <w:sz w:val="28"/>
          <w:szCs w:val="28"/>
        </w:rPr>
        <w:t>條規定之「身心障礙福利機構或團體、庇護工場」，依該第</w:t>
      </w:r>
      <w:r w:rsidRPr="007532EC">
        <w:rPr>
          <w:rFonts w:ascii="標楷體" w:eastAsia="標楷體" w:hAnsi="標楷體"/>
          <w:sz w:val="28"/>
          <w:szCs w:val="28"/>
        </w:rPr>
        <w:t>69</w:t>
      </w:r>
      <w:r w:rsidRPr="007532EC">
        <w:rPr>
          <w:rFonts w:ascii="標楷體" w:eastAsia="標楷體" w:hAnsi="標楷體" w:hint="eastAsia"/>
          <w:sz w:val="28"/>
          <w:szCs w:val="28"/>
        </w:rPr>
        <w:t>條第</w:t>
      </w:r>
      <w:r w:rsidRPr="007532EC">
        <w:rPr>
          <w:rFonts w:ascii="標楷體" w:eastAsia="標楷體" w:hAnsi="標楷體"/>
          <w:sz w:val="28"/>
          <w:szCs w:val="28"/>
        </w:rPr>
        <w:t>3</w:t>
      </w:r>
      <w:r w:rsidRPr="007532EC">
        <w:rPr>
          <w:rFonts w:ascii="標楷體" w:eastAsia="標楷體" w:hAnsi="標楷體" w:hint="eastAsia"/>
          <w:sz w:val="28"/>
          <w:szCs w:val="28"/>
        </w:rPr>
        <w:t>項授權訂定之「優先採購身心障礙福利機構團體或庇護工場生產物品及服務辦法」規定，針對特定之財物及勞務採購，每年由身心障礙福利機構、團體或庇護工場承包或分包之年度金額累計占該採購機關年度採購該物品及服務項目金額之比率須達</w:t>
      </w:r>
      <w:r w:rsidRPr="007532EC">
        <w:rPr>
          <w:rFonts w:ascii="標楷體" w:eastAsia="標楷體" w:hAnsi="標楷體"/>
          <w:sz w:val="28"/>
          <w:szCs w:val="28"/>
        </w:rPr>
        <w:t>5%</w:t>
      </w:r>
      <w:r w:rsidRPr="007532EC">
        <w:rPr>
          <w:rFonts w:ascii="標楷體" w:eastAsia="標楷體" w:hAnsi="標楷體" w:hint="eastAsia"/>
          <w:sz w:val="28"/>
          <w:szCs w:val="28"/>
        </w:rPr>
        <w:t>（非指全年採購決標金額之</w:t>
      </w:r>
      <w:r w:rsidRPr="007532EC">
        <w:rPr>
          <w:rFonts w:ascii="標楷體" w:eastAsia="標楷體" w:hAnsi="標楷體"/>
          <w:sz w:val="28"/>
          <w:szCs w:val="28"/>
        </w:rPr>
        <w:t>5%</w:t>
      </w:r>
      <w:r w:rsidRPr="007532EC">
        <w:rPr>
          <w:rFonts w:ascii="標楷體" w:eastAsia="標楷體" w:hAnsi="標楷體" w:hint="eastAsia"/>
          <w:sz w:val="28"/>
          <w:szCs w:val="28"/>
        </w:rPr>
        <w:t>）。另一保護對象為原住民廠商，依原住民族工作權保障法第</w:t>
      </w:r>
      <w:r w:rsidRPr="007532EC">
        <w:rPr>
          <w:rFonts w:ascii="標楷體" w:eastAsia="標楷體" w:hAnsi="標楷體"/>
          <w:sz w:val="28"/>
          <w:szCs w:val="28"/>
        </w:rPr>
        <w:t>11</w:t>
      </w:r>
      <w:r w:rsidRPr="007532EC">
        <w:rPr>
          <w:rFonts w:ascii="標楷體" w:eastAsia="標楷體" w:hAnsi="標楷體" w:hint="eastAsia"/>
          <w:sz w:val="28"/>
          <w:szCs w:val="28"/>
        </w:rPr>
        <w:t>條規定：「各級政府機關、公立學校及公營事業機構，辦理位於原住民地區未達政府採購法公告金額之採購，應由原住民個人、機構、法人或團體承包。但原住民個人、機構、法人或團體無法承包者，不在此限。」就</w:t>
      </w:r>
      <w:r w:rsidRPr="007532EC">
        <w:rPr>
          <w:rFonts w:ascii="標楷體" w:eastAsia="標楷體" w:hAnsi="標楷體"/>
          <w:sz w:val="28"/>
          <w:szCs w:val="28"/>
        </w:rPr>
        <w:t>102</w:t>
      </w:r>
      <w:r w:rsidRPr="007532EC">
        <w:rPr>
          <w:rFonts w:ascii="標楷體" w:eastAsia="標楷體" w:hAnsi="標楷體" w:hint="eastAsia"/>
          <w:sz w:val="28"/>
          <w:szCs w:val="28"/>
        </w:rPr>
        <w:t>年及</w:t>
      </w:r>
      <w:r w:rsidRPr="007532EC">
        <w:rPr>
          <w:rFonts w:ascii="標楷體" w:eastAsia="標楷體" w:hAnsi="標楷體"/>
          <w:sz w:val="28"/>
          <w:szCs w:val="28"/>
        </w:rPr>
        <w:t>103</w:t>
      </w:r>
      <w:r w:rsidRPr="007532EC">
        <w:rPr>
          <w:rFonts w:ascii="標楷體" w:eastAsia="標楷體" w:hAnsi="標楷體" w:hint="eastAsia"/>
          <w:sz w:val="28"/>
          <w:szCs w:val="28"/>
        </w:rPr>
        <w:t>年原住民廠商得標之件數占各該年總決標件數之比率分別為</w:t>
      </w:r>
      <w:r w:rsidRPr="007532EC">
        <w:rPr>
          <w:rFonts w:ascii="標楷體" w:eastAsia="標楷體" w:hAnsi="標楷體"/>
          <w:sz w:val="28"/>
          <w:szCs w:val="28"/>
        </w:rPr>
        <w:t>1.1%</w:t>
      </w:r>
      <w:r w:rsidRPr="007532EC">
        <w:rPr>
          <w:rFonts w:ascii="標楷體" w:eastAsia="標楷體" w:hAnsi="標楷體" w:hint="eastAsia"/>
          <w:sz w:val="28"/>
          <w:szCs w:val="28"/>
        </w:rPr>
        <w:t>及</w:t>
      </w:r>
      <w:r w:rsidRPr="007532EC">
        <w:rPr>
          <w:rFonts w:ascii="標楷體" w:eastAsia="標楷體" w:hAnsi="標楷體"/>
          <w:sz w:val="28"/>
          <w:szCs w:val="28"/>
        </w:rPr>
        <w:t>1.0%</w:t>
      </w:r>
      <w:r w:rsidRPr="007532EC">
        <w:rPr>
          <w:rFonts w:ascii="標楷體" w:eastAsia="標楷體" w:hAnsi="標楷體" w:hint="eastAsia"/>
          <w:sz w:val="28"/>
          <w:szCs w:val="28"/>
        </w:rPr>
        <w:t>，原住民廠商得標之金額占各該年總決標金額之比率均為</w:t>
      </w:r>
      <w:r w:rsidRPr="007532EC">
        <w:rPr>
          <w:rFonts w:ascii="標楷體" w:eastAsia="標楷體" w:hAnsi="標楷體"/>
          <w:sz w:val="28"/>
          <w:szCs w:val="28"/>
        </w:rPr>
        <w:t>0.1%(</w:t>
      </w:r>
      <w:r w:rsidRPr="007532EC">
        <w:rPr>
          <w:rFonts w:ascii="標楷體" w:eastAsia="標楷體" w:hAnsi="標楷體" w:hint="eastAsia"/>
          <w:sz w:val="28"/>
          <w:szCs w:val="28"/>
        </w:rPr>
        <w:t>如表</w:t>
      </w:r>
      <w:r w:rsidRPr="007532EC">
        <w:rPr>
          <w:rFonts w:ascii="標楷體" w:eastAsia="標楷體" w:hAnsi="標楷體"/>
          <w:sz w:val="28"/>
          <w:szCs w:val="28"/>
        </w:rPr>
        <w:t>2)</w:t>
      </w:r>
      <w:r w:rsidRPr="007532EC">
        <w:rPr>
          <w:rFonts w:ascii="標楷體" w:eastAsia="標楷體" w:hAnsi="標楷體" w:hint="eastAsia"/>
          <w:sz w:val="28"/>
          <w:szCs w:val="28"/>
        </w:rPr>
        <w:t>，遠低於「優先取得採購業務機會之女性中小企業」</w:t>
      </w:r>
      <w:r w:rsidRPr="007532EC">
        <w:rPr>
          <w:rFonts w:ascii="標楷體" w:eastAsia="標楷體" w:hAnsi="標楷體"/>
          <w:sz w:val="28"/>
          <w:szCs w:val="28"/>
        </w:rPr>
        <w:t>103</w:t>
      </w:r>
      <w:r w:rsidRPr="007532EC">
        <w:rPr>
          <w:rFonts w:ascii="標楷體" w:eastAsia="標楷體" w:hAnsi="標楷體" w:hint="eastAsia"/>
          <w:sz w:val="28"/>
          <w:szCs w:val="28"/>
        </w:rPr>
        <w:t>年之得標件數比率</w:t>
      </w:r>
      <w:r w:rsidRPr="007532EC">
        <w:rPr>
          <w:rFonts w:ascii="標楷體" w:eastAsia="標楷體" w:hAnsi="標楷體"/>
          <w:sz w:val="28"/>
          <w:szCs w:val="28"/>
        </w:rPr>
        <w:t>22.9%</w:t>
      </w:r>
      <w:r w:rsidRPr="007532EC">
        <w:rPr>
          <w:rFonts w:ascii="標楷體" w:eastAsia="標楷體" w:hAnsi="標楷體" w:hint="eastAsia"/>
          <w:sz w:val="28"/>
          <w:szCs w:val="28"/>
        </w:rPr>
        <w:t>及得標金額比率</w:t>
      </w:r>
      <w:r w:rsidRPr="007532EC">
        <w:rPr>
          <w:rFonts w:ascii="標楷體" w:eastAsia="標楷體" w:hAnsi="標楷體"/>
          <w:sz w:val="28"/>
          <w:szCs w:val="28"/>
        </w:rPr>
        <w:t>14.0%</w:t>
      </w:r>
      <w:r w:rsidRPr="007532EC">
        <w:rPr>
          <w:rFonts w:ascii="標楷體" w:eastAsia="標楷體" w:hAnsi="標楷體" w:hint="eastAsia"/>
          <w:sz w:val="28"/>
          <w:szCs w:val="28"/>
        </w:rPr>
        <w:t>。</w:t>
      </w:r>
    </w:p>
    <w:p w:rsidR="00514373" w:rsidRPr="007532EC" w:rsidRDefault="00514373" w:rsidP="00025519">
      <w:pPr>
        <w:spacing w:line="480" w:lineRule="exact"/>
        <w:ind w:leftChars="650" w:left="1832" w:hangingChars="100" w:hanging="272"/>
        <w:jc w:val="both"/>
        <w:rPr>
          <w:rFonts w:ascii="標楷體" w:eastAsia="標楷體" w:hAnsi="標楷體"/>
          <w:spacing w:val="-4"/>
          <w:sz w:val="28"/>
          <w:szCs w:val="28"/>
        </w:rPr>
      </w:pPr>
      <w:r w:rsidRPr="007532EC">
        <w:rPr>
          <w:rFonts w:ascii="標楷體" w:eastAsia="標楷體" w:hAnsi="標楷體"/>
          <w:spacing w:val="-4"/>
          <w:sz w:val="28"/>
          <w:szCs w:val="28"/>
        </w:rPr>
        <w:t>3.</w:t>
      </w:r>
      <w:r w:rsidRPr="007532EC">
        <w:rPr>
          <w:rFonts w:ascii="標楷體" w:eastAsia="標楷體" w:hAnsi="標楷體" w:hint="eastAsia"/>
          <w:spacing w:val="-4"/>
          <w:sz w:val="28"/>
          <w:szCs w:val="28"/>
        </w:rPr>
        <w:t>綜上，依我國現況，以立法方式保護女性中小企業參與政府採購之目標比率，暫無必要性。呼應前揭經濟部中小企業處</w:t>
      </w:r>
      <w:r w:rsidRPr="007532EC">
        <w:rPr>
          <w:rFonts w:ascii="標楷體" w:eastAsia="標楷體" w:hAnsi="標楷體"/>
          <w:spacing w:val="-4"/>
          <w:sz w:val="28"/>
          <w:szCs w:val="28"/>
        </w:rPr>
        <w:t>102</w:t>
      </w:r>
      <w:r w:rsidRPr="007532EC">
        <w:rPr>
          <w:rFonts w:ascii="標楷體" w:eastAsia="標楷體" w:hAnsi="標楷體" w:hint="eastAsia"/>
          <w:spacing w:val="-4"/>
          <w:sz w:val="28"/>
          <w:szCs w:val="28"/>
        </w:rPr>
        <w:t>年</w:t>
      </w:r>
      <w:r w:rsidRPr="007532EC">
        <w:rPr>
          <w:rFonts w:ascii="標楷體" w:eastAsia="標楷體" w:hAnsi="標楷體"/>
          <w:spacing w:val="-4"/>
          <w:sz w:val="28"/>
          <w:szCs w:val="28"/>
        </w:rPr>
        <w:t>2</w:t>
      </w:r>
      <w:r w:rsidRPr="007532EC">
        <w:rPr>
          <w:rFonts w:ascii="標楷體" w:eastAsia="標楷體" w:hAnsi="標楷體" w:hint="eastAsia"/>
          <w:spacing w:val="-4"/>
          <w:sz w:val="28"/>
          <w:szCs w:val="28"/>
        </w:rPr>
        <w:t>月</w:t>
      </w:r>
      <w:r w:rsidRPr="007532EC">
        <w:rPr>
          <w:rFonts w:ascii="標楷體" w:eastAsia="標楷體" w:hAnsi="標楷體"/>
          <w:spacing w:val="-4"/>
          <w:sz w:val="28"/>
          <w:szCs w:val="28"/>
        </w:rPr>
        <w:t>22</w:t>
      </w:r>
      <w:r w:rsidRPr="007532EC">
        <w:rPr>
          <w:rFonts w:ascii="標楷體" w:eastAsia="標楷體" w:hAnsi="標楷體" w:hint="eastAsia"/>
          <w:spacing w:val="-4"/>
          <w:sz w:val="28"/>
          <w:szCs w:val="28"/>
        </w:rPr>
        <w:t>日會議結論，建議目的事業主管機關可先瞭解女性企業在參與政府採購是否有困難或不平等之情形，或有那些障礙，需政府扶助之措施為何，再提供相關協助並輔導提升其競爭力。</w:t>
      </w:r>
    </w:p>
    <w:sectPr w:rsidR="00514373" w:rsidRPr="007532EC" w:rsidSect="00C177CD">
      <w:footerReference w:type="default" r:id="rId7"/>
      <w:pgSz w:w="11906" w:h="16838"/>
      <w:pgMar w:top="1304" w:right="1134" w:bottom="1134" w:left="1134" w:header="851" w:footer="64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373" w:rsidRDefault="00514373">
      <w:r>
        <w:separator/>
      </w:r>
    </w:p>
  </w:endnote>
  <w:endnote w:type="continuationSeparator" w:id="0">
    <w:p w:rsidR="00514373" w:rsidRDefault="00514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73" w:rsidRDefault="00514373" w:rsidP="007532EC">
    <w:pPr>
      <w:pStyle w:val="Footer"/>
      <w:spacing w:beforeLines="50"/>
      <w:jc w:val="center"/>
    </w:pPr>
    <w:fldSimple w:instr=" PAGE   \* MERGEFORMAT ">
      <w:r w:rsidRPr="00A00C5E">
        <w:rPr>
          <w:noProof/>
          <w:lang w:val="zh-TW"/>
        </w:rPr>
        <w:t>6</w:t>
      </w:r>
    </w:fldSimple>
  </w:p>
  <w:p w:rsidR="00514373" w:rsidRDefault="005143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373" w:rsidRDefault="00514373">
      <w:r>
        <w:separator/>
      </w:r>
    </w:p>
  </w:footnote>
  <w:footnote w:type="continuationSeparator" w:id="0">
    <w:p w:rsidR="00514373" w:rsidRDefault="005143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F27"/>
    <w:multiLevelType w:val="hybridMultilevel"/>
    <w:tmpl w:val="78804A76"/>
    <w:lvl w:ilvl="0" w:tplc="03D0B042">
      <w:start w:val="1"/>
      <w:numFmt w:val="ideographLegalTraditional"/>
      <w:lvlText w:val="%1、"/>
      <w:lvlJc w:val="left"/>
      <w:pPr>
        <w:ind w:left="720" w:hanging="720"/>
      </w:pPr>
      <w:rPr>
        <w:rFonts w:cs="Times New Roman" w:hint="default"/>
        <w:b/>
        <w:sz w:val="32"/>
        <w:szCs w:val="3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3336A1E"/>
    <w:multiLevelType w:val="hybridMultilevel"/>
    <w:tmpl w:val="1C9ABF8A"/>
    <w:lvl w:ilvl="0" w:tplc="0F98A854">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
    <w:nsid w:val="0A5352DF"/>
    <w:multiLevelType w:val="hybridMultilevel"/>
    <w:tmpl w:val="23EC9772"/>
    <w:lvl w:ilvl="0" w:tplc="5EFA3B12">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
    <w:nsid w:val="161E2221"/>
    <w:multiLevelType w:val="hybridMultilevel"/>
    <w:tmpl w:val="C3B0E5BC"/>
    <w:lvl w:ilvl="0" w:tplc="EC0C2D9A">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8CD1F1A"/>
    <w:multiLevelType w:val="hybridMultilevel"/>
    <w:tmpl w:val="DBFA932E"/>
    <w:lvl w:ilvl="0" w:tplc="E7F073C8">
      <w:start w:val="1"/>
      <w:numFmt w:val="taiwaneseCountingThousand"/>
      <w:lvlText w:val="（%1）"/>
      <w:lvlJc w:val="left"/>
      <w:pPr>
        <w:ind w:left="855" w:hanging="85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B0537A5"/>
    <w:multiLevelType w:val="hybridMultilevel"/>
    <w:tmpl w:val="CF2AFE76"/>
    <w:lvl w:ilvl="0" w:tplc="35485646">
      <w:start w:val="1"/>
      <w:numFmt w:val="taiwaneseCountingThousand"/>
      <w:lvlText w:val="（%1）"/>
      <w:lvlJc w:val="left"/>
      <w:pPr>
        <w:ind w:left="855" w:hanging="85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22B1245A"/>
    <w:multiLevelType w:val="hybridMultilevel"/>
    <w:tmpl w:val="7FCE7DAE"/>
    <w:lvl w:ilvl="0" w:tplc="04090015">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7">
    <w:nsid w:val="22D87483"/>
    <w:multiLevelType w:val="hybridMultilevel"/>
    <w:tmpl w:val="22627342"/>
    <w:lvl w:ilvl="0" w:tplc="B0BEF9E4">
      <w:start w:val="1"/>
      <w:numFmt w:val="taiwaneseCountingThousand"/>
      <w:lvlText w:val="（%1）"/>
      <w:lvlJc w:val="left"/>
      <w:pPr>
        <w:ind w:left="855" w:hanging="85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43B1D6B"/>
    <w:multiLevelType w:val="hybridMultilevel"/>
    <w:tmpl w:val="6F20A678"/>
    <w:lvl w:ilvl="0" w:tplc="04090015">
      <w:start w:val="1"/>
      <w:numFmt w:val="taiwaneseCountingThousand"/>
      <w:lvlText w:val="%1、"/>
      <w:lvlJc w:val="left"/>
      <w:pPr>
        <w:ind w:left="862" w:hanging="720"/>
      </w:pPr>
      <w:rPr>
        <w:rFonts w:cs="Times New Roman" w:hint="default"/>
      </w:rPr>
    </w:lvl>
    <w:lvl w:ilvl="1" w:tplc="04090019">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9">
    <w:nsid w:val="3A28563C"/>
    <w:multiLevelType w:val="hybridMultilevel"/>
    <w:tmpl w:val="5504F4A6"/>
    <w:lvl w:ilvl="0" w:tplc="1D48B5C8">
      <w:start w:val="1"/>
      <w:numFmt w:val="decimal"/>
      <w:lvlText w:val="(%1)"/>
      <w:lvlJc w:val="left"/>
      <w:pPr>
        <w:ind w:left="1616" w:hanging="720"/>
      </w:pPr>
      <w:rPr>
        <w:rFonts w:cs="Times New Roman" w:hint="default"/>
      </w:rPr>
    </w:lvl>
    <w:lvl w:ilvl="1" w:tplc="04090019" w:tentative="1">
      <w:start w:val="1"/>
      <w:numFmt w:val="ideographTraditional"/>
      <w:lvlText w:val="%2、"/>
      <w:lvlJc w:val="left"/>
      <w:pPr>
        <w:ind w:left="1856" w:hanging="480"/>
      </w:pPr>
      <w:rPr>
        <w:rFonts w:cs="Times New Roman"/>
      </w:rPr>
    </w:lvl>
    <w:lvl w:ilvl="2" w:tplc="0409001B" w:tentative="1">
      <w:start w:val="1"/>
      <w:numFmt w:val="lowerRoman"/>
      <w:lvlText w:val="%3."/>
      <w:lvlJc w:val="right"/>
      <w:pPr>
        <w:ind w:left="2336" w:hanging="480"/>
      </w:pPr>
      <w:rPr>
        <w:rFonts w:cs="Times New Roman"/>
      </w:rPr>
    </w:lvl>
    <w:lvl w:ilvl="3" w:tplc="0409000F" w:tentative="1">
      <w:start w:val="1"/>
      <w:numFmt w:val="decimal"/>
      <w:lvlText w:val="%4."/>
      <w:lvlJc w:val="left"/>
      <w:pPr>
        <w:ind w:left="2816" w:hanging="480"/>
      </w:pPr>
      <w:rPr>
        <w:rFonts w:cs="Times New Roman"/>
      </w:rPr>
    </w:lvl>
    <w:lvl w:ilvl="4" w:tplc="04090019" w:tentative="1">
      <w:start w:val="1"/>
      <w:numFmt w:val="ideographTraditional"/>
      <w:lvlText w:val="%5、"/>
      <w:lvlJc w:val="left"/>
      <w:pPr>
        <w:ind w:left="3296" w:hanging="480"/>
      </w:pPr>
      <w:rPr>
        <w:rFonts w:cs="Times New Roman"/>
      </w:rPr>
    </w:lvl>
    <w:lvl w:ilvl="5" w:tplc="0409001B" w:tentative="1">
      <w:start w:val="1"/>
      <w:numFmt w:val="lowerRoman"/>
      <w:lvlText w:val="%6."/>
      <w:lvlJc w:val="right"/>
      <w:pPr>
        <w:ind w:left="3776" w:hanging="480"/>
      </w:pPr>
      <w:rPr>
        <w:rFonts w:cs="Times New Roman"/>
      </w:rPr>
    </w:lvl>
    <w:lvl w:ilvl="6" w:tplc="0409000F" w:tentative="1">
      <w:start w:val="1"/>
      <w:numFmt w:val="decimal"/>
      <w:lvlText w:val="%7."/>
      <w:lvlJc w:val="left"/>
      <w:pPr>
        <w:ind w:left="4256" w:hanging="480"/>
      </w:pPr>
      <w:rPr>
        <w:rFonts w:cs="Times New Roman"/>
      </w:rPr>
    </w:lvl>
    <w:lvl w:ilvl="7" w:tplc="04090019" w:tentative="1">
      <w:start w:val="1"/>
      <w:numFmt w:val="ideographTraditional"/>
      <w:lvlText w:val="%8、"/>
      <w:lvlJc w:val="left"/>
      <w:pPr>
        <w:ind w:left="4736" w:hanging="480"/>
      </w:pPr>
      <w:rPr>
        <w:rFonts w:cs="Times New Roman"/>
      </w:rPr>
    </w:lvl>
    <w:lvl w:ilvl="8" w:tplc="0409001B" w:tentative="1">
      <w:start w:val="1"/>
      <w:numFmt w:val="lowerRoman"/>
      <w:lvlText w:val="%9."/>
      <w:lvlJc w:val="right"/>
      <w:pPr>
        <w:ind w:left="5216" w:hanging="480"/>
      </w:pPr>
      <w:rPr>
        <w:rFonts w:cs="Times New Roman"/>
      </w:rPr>
    </w:lvl>
  </w:abstractNum>
  <w:abstractNum w:abstractNumId="10">
    <w:nsid w:val="3ED36145"/>
    <w:multiLevelType w:val="hybridMultilevel"/>
    <w:tmpl w:val="E23CA898"/>
    <w:lvl w:ilvl="0" w:tplc="EC0C2D9A">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1231548"/>
    <w:multiLevelType w:val="hybridMultilevel"/>
    <w:tmpl w:val="FD16DBC6"/>
    <w:lvl w:ilvl="0" w:tplc="7E029072">
      <w:start w:val="1"/>
      <w:numFmt w:val="taiwaneseCountingThousand"/>
      <w:lvlText w:val="%1、"/>
      <w:lvlJc w:val="left"/>
      <w:pPr>
        <w:ind w:left="1430" w:hanging="720"/>
      </w:pPr>
      <w:rPr>
        <w:rFonts w:cs="Times New Roman" w:hint="default"/>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12">
    <w:nsid w:val="43100374"/>
    <w:multiLevelType w:val="hybridMultilevel"/>
    <w:tmpl w:val="CC9E7FB2"/>
    <w:lvl w:ilvl="0" w:tplc="A86CAD82">
      <w:start w:val="1"/>
      <w:numFmt w:val="taiwaneseCountingThousand"/>
      <w:lvlText w:val="（%1）"/>
      <w:lvlJc w:val="left"/>
      <w:pPr>
        <w:ind w:left="1800" w:hanging="10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3">
    <w:nsid w:val="47793267"/>
    <w:multiLevelType w:val="hybridMultilevel"/>
    <w:tmpl w:val="D124CA04"/>
    <w:lvl w:ilvl="0" w:tplc="13783EA4">
      <w:start w:val="1"/>
      <w:numFmt w:val="taiwaneseCountingThousand"/>
      <w:lvlText w:val="（%1）"/>
      <w:lvlJc w:val="left"/>
      <w:pPr>
        <w:ind w:left="855" w:hanging="85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B647AB3"/>
    <w:multiLevelType w:val="hybridMultilevel"/>
    <w:tmpl w:val="ED6A8FA0"/>
    <w:lvl w:ilvl="0" w:tplc="2AA44A88">
      <w:start w:val="1"/>
      <w:numFmt w:val="ideographLegalTraditional"/>
      <w:lvlText w:val="%1、"/>
      <w:lvlJc w:val="left"/>
      <w:pPr>
        <w:ind w:left="720" w:hanging="720"/>
      </w:pPr>
      <w:rPr>
        <w:rFonts w:cs="Times New Roman" w:hint="default"/>
        <w:b/>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C5D4E11"/>
    <w:multiLevelType w:val="hybridMultilevel"/>
    <w:tmpl w:val="797E5F86"/>
    <w:lvl w:ilvl="0" w:tplc="BACA573C">
      <w:start w:val="1"/>
      <w:numFmt w:val="taiwaneseCountingThousand"/>
      <w:lvlText w:val="（%1）"/>
      <w:lvlJc w:val="left"/>
      <w:pPr>
        <w:ind w:left="862" w:hanging="720"/>
      </w:pPr>
      <w:rPr>
        <w:rFonts w:cs="Times New Roman" w:hint="default"/>
      </w:rPr>
    </w:lvl>
    <w:lvl w:ilvl="1" w:tplc="64AC7BA2">
      <w:start w:val="1"/>
      <w:numFmt w:val="decimal"/>
      <w:lvlText w:val="%2."/>
      <w:lvlJc w:val="left"/>
      <w:pPr>
        <w:ind w:left="982" w:hanging="360"/>
      </w:pPr>
      <w:rPr>
        <w:rFonts w:cs="Times New Roman" w:hint="default"/>
        <w:b w:val="0"/>
        <w:color w:val="auto"/>
        <w:u w:val="none"/>
      </w:rPr>
    </w:lvl>
    <w:lvl w:ilvl="2" w:tplc="26EC8C44">
      <w:start w:val="1"/>
      <w:numFmt w:val="decimal"/>
      <w:lvlText w:val="%3、"/>
      <w:lvlJc w:val="left"/>
      <w:pPr>
        <w:ind w:left="1822" w:hanging="720"/>
      </w:pPr>
      <w:rPr>
        <w:rFonts w:cs="Times New Roman" w:hint="default"/>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6">
    <w:nsid w:val="520958AA"/>
    <w:multiLevelType w:val="hybridMultilevel"/>
    <w:tmpl w:val="FDF086A0"/>
    <w:lvl w:ilvl="0" w:tplc="EDF697D2">
      <w:start w:val="1"/>
      <w:numFmt w:val="taiwaneseCountingThousand"/>
      <w:lvlText w:val="%1、"/>
      <w:lvlJc w:val="left"/>
      <w:pPr>
        <w:ind w:left="905" w:hanging="48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7">
    <w:nsid w:val="5A08335F"/>
    <w:multiLevelType w:val="hybridMultilevel"/>
    <w:tmpl w:val="88D26A96"/>
    <w:lvl w:ilvl="0" w:tplc="61A6A9EC">
      <w:start w:val="1"/>
      <w:numFmt w:val="taiwaneseCountingThousand"/>
      <w:lvlText w:val="%1、"/>
      <w:lvlJc w:val="left"/>
      <w:pPr>
        <w:ind w:left="1430" w:hanging="720"/>
      </w:pPr>
      <w:rPr>
        <w:rFonts w:cs="Times New Roman" w:hint="default"/>
      </w:rPr>
    </w:lvl>
    <w:lvl w:ilvl="1" w:tplc="04090019">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8">
    <w:nsid w:val="5C30771C"/>
    <w:multiLevelType w:val="hybridMultilevel"/>
    <w:tmpl w:val="8E748C02"/>
    <w:lvl w:ilvl="0" w:tplc="22906608">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60415ECB"/>
    <w:multiLevelType w:val="multilevel"/>
    <w:tmpl w:val="80664A8A"/>
    <w:lvl w:ilvl="0">
      <w:start w:val="1"/>
      <w:numFmt w:val="taiwaneseCountingThousand"/>
      <w:lvlText w:val="（%1）"/>
      <w:lvlJc w:val="left"/>
      <w:pPr>
        <w:ind w:left="855" w:hanging="855"/>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nsid w:val="653A3F33"/>
    <w:multiLevelType w:val="hybridMultilevel"/>
    <w:tmpl w:val="FDF086A0"/>
    <w:lvl w:ilvl="0" w:tplc="EDF697D2">
      <w:start w:val="1"/>
      <w:numFmt w:val="taiwaneseCountingThousand"/>
      <w:lvlText w:val="%1、"/>
      <w:lvlJc w:val="left"/>
      <w:pPr>
        <w:ind w:left="905" w:hanging="48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21">
    <w:nsid w:val="662A2C59"/>
    <w:multiLevelType w:val="hybridMultilevel"/>
    <w:tmpl w:val="3704FD16"/>
    <w:lvl w:ilvl="0" w:tplc="98A09CA4">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663660A6"/>
    <w:multiLevelType w:val="hybridMultilevel"/>
    <w:tmpl w:val="353EF4DA"/>
    <w:lvl w:ilvl="0" w:tplc="13783EA4">
      <w:start w:val="1"/>
      <w:numFmt w:val="taiwaneseCountingThousand"/>
      <w:lvlText w:val="（%1）"/>
      <w:lvlJc w:val="left"/>
      <w:pPr>
        <w:ind w:left="855" w:hanging="85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696C21B8"/>
    <w:multiLevelType w:val="hybridMultilevel"/>
    <w:tmpl w:val="FD16DBC6"/>
    <w:lvl w:ilvl="0" w:tplc="7E029072">
      <w:start w:val="1"/>
      <w:numFmt w:val="taiwaneseCountingThousand"/>
      <w:lvlText w:val="%1、"/>
      <w:lvlJc w:val="left"/>
      <w:pPr>
        <w:ind w:left="1430" w:hanging="720"/>
      </w:pPr>
      <w:rPr>
        <w:rFonts w:cs="Times New Roman" w:hint="default"/>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24">
    <w:nsid w:val="7C330EE9"/>
    <w:multiLevelType w:val="hybridMultilevel"/>
    <w:tmpl w:val="A4443256"/>
    <w:lvl w:ilvl="0" w:tplc="75ACCA9E">
      <w:start w:val="1"/>
      <w:numFmt w:val="ideographLegalTraditional"/>
      <w:lvlText w:val="%1、"/>
      <w:lvlJc w:val="left"/>
      <w:pPr>
        <w:ind w:left="1430" w:hanging="720"/>
      </w:pPr>
      <w:rPr>
        <w:rFonts w:eastAsia="標楷體" w:cs="Times New Roman" w:hint="eastAsia"/>
        <w:b/>
        <w:i w:val="0"/>
        <w:sz w:val="32"/>
      </w:rPr>
    </w:lvl>
    <w:lvl w:ilvl="1" w:tplc="45CAC7DC">
      <w:start w:val="1"/>
      <w:numFmt w:val="taiwaneseCountingThousand"/>
      <w:lvlText w:val="（%2）"/>
      <w:lvlJc w:val="left"/>
      <w:pPr>
        <w:ind w:left="1288" w:hanging="720"/>
      </w:pPr>
      <w:rPr>
        <w:rFonts w:eastAsia="標楷體" w:cs="Times New Roman" w:hint="eastAsia"/>
        <w:b w:val="0"/>
        <w:i w:val="0"/>
        <w:sz w:val="28"/>
      </w:rPr>
    </w:lvl>
    <w:lvl w:ilvl="2" w:tplc="A0BA8512">
      <w:start w:val="1"/>
      <w:numFmt w:val="taiwaneseCountingThousand"/>
      <w:lvlText w:val="（%3）"/>
      <w:lvlJc w:val="center"/>
      <w:pPr>
        <w:ind w:left="1440" w:hanging="48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4"/>
  </w:num>
  <w:num w:numId="2">
    <w:abstractNumId w:val="23"/>
  </w:num>
  <w:num w:numId="3">
    <w:abstractNumId w:val="2"/>
  </w:num>
  <w:num w:numId="4">
    <w:abstractNumId w:val="14"/>
  </w:num>
  <w:num w:numId="5">
    <w:abstractNumId w:val="8"/>
  </w:num>
  <w:num w:numId="6">
    <w:abstractNumId w:val="16"/>
  </w:num>
  <w:num w:numId="7">
    <w:abstractNumId w:val="20"/>
  </w:num>
  <w:num w:numId="8">
    <w:abstractNumId w:val="0"/>
  </w:num>
  <w:num w:numId="9">
    <w:abstractNumId w:val="17"/>
  </w:num>
  <w:num w:numId="10">
    <w:abstractNumId w:val="1"/>
  </w:num>
  <w:num w:numId="11">
    <w:abstractNumId w:val="6"/>
  </w:num>
  <w:num w:numId="12">
    <w:abstractNumId w:val="21"/>
  </w:num>
  <w:num w:numId="13">
    <w:abstractNumId w:val="18"/>
  </w:num>
  <w:num w:numId="14">
    <w:abstractNumId w:val="11"/>
  </w:num>
  <w:num w:numId="15">
    <w:abstractNumId w:val="3"/>
  </w:num>
  <w:num w:numId="16">
    <w:abstractNumId w:val="10"/>
  </w:num>
  <w:num w:numId="17">
    <w:abstractNumId w:val="15"/>
  </w:num>
  <w:num w:numId="18">
    <w:abstractNumId w:val="9"/>
  </w:num>
  <w:num w:numId="19">
    <w:abstractNumId w:val="13"/>
  </w:num>
  <w:num w:numId="20">
    <w:abstractNumId w:val="7"/>
  </w:num>
  <w:num w:numId="21">
    <w:abstractNumId w:val="4"/>
  </w:num>
  <w:num w:numId="22">
    <w:abstractNumId w:val="5"/>
  </w:num>
  <w:num w:numId="23">
    <w:abstractNumId w:val="12"/>
  </w:num>
  <w:num w:numId="24">
    <w:abstractNumId w:val="19"/>
  </w:num>
  <w:num w:numId="25">
    <w:abstractNumId w:val="2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5367"/>
    <w:rsid w:val="00002C58"/>
    <w:rsid w:val="00002D14"/>
    <w:rsid w:val="00003A8F"/>
    <w:rsid w:val="00003D64"/>
    <w:rsid w:val="00003F0D"/>
    <w:rsid w:val="000058AA"/>
    <w:rsid w:val="00005F01"/>
    <w:rsid w:val="00005FBD"/>
    <w:rsid w:val="00010150"/>
    <w:rsid w:val="0001043C"/>
    <w:rsid w:val="0001191F"/>
    <w:rsid w:val="000119B7"/>
    <w:rsid w:val="00011DD2"/>
    <w:rsid w:val="00011E92"/>
    <w:rsid w:val="0001269E"/>
    <w:rsid w:val="00012A39"/>
    <w:rsid w:val="00012C1C"/>
    <w:rsid w:val="00012CEC"/>
    <w:rsid w:val="00014139"/>
    <w:rsid w:val="0001530C"/>
    <w:rsid w:val="00015E57"/>
    <w:rsid w:val="00017461"/>
    <w:rsid w:val="000233C3"/>
    <w:rsid w:val="00023975"/>
    <w:rsid w:val="00023EBC"/>
    <w:rsid w:val="0002452C"/>
    <w:rsid w:val="00025519"/>
    <w:rsid w:val="000258B6"/>
    <w:rsid w:val="000269E9"/>
    <w:rsid w:val="00026D17"/>
    <w:rsid w:val="000273EE"/>
    <w:rsid w:val="00030B50"/>
    <w:rsid w:val="00031248"/>
    <w:rsid w:val="0003147E"/>
    <w:rsid w:val="000316F7"/>
    <w:rsid w:val="00031A74"/>
    <w:rsid w:val="00031D9F"/>
    <w:rsid w:val="00031E5A"/>
    <w:rsid w:val="00031F68"/>
    <w:rsid w:val="000336FA"/>
    <w:rsid w:val="000339A7"/>
    <w:rsid w:val="0003511C"/>
    <w:rsid w:val="000357C8"/>
    <w:rsid w:val="00037FD9"/>
    <w:rsid w:val="000408CF"/>
    <w:rsid w:val="000422EB"/>
    <w:rsid w:val="00043EA5"/>
    <w:rsid w:val="00044396"/>
    <w:rsid w:val="000443FA"/>
    <w:rsid w:val="00045582"/>
    <w:rsid w:val="00046B91"/>
    <w:rsid w:val="00046FC8"/>
    <w:rsid w:val="00047703"/>
    <w:rsid w:val="000503EF"/>
    <w:rsid w:val="00051169"/>
    <w:rsid w:val="00053E6F"/>
    <w:rsid w:val="000545D4"/>
    <w:rsid w:val="0005536B"/>
    <w:rsid w:val="000600E2"/>
    <w:rsid w:val="00062C86"/>
    <w:rsid w:val="0006373E"/>
    <w:rsid w:val="000658CC"/>
    <w:rsid w:val="000659CA"/>
    <w:rsid w:val="000668CB"/>
    <w:rsid w:val="0007026E"/>
    <w:rsid w:val="00070CAF"/>
    <w:rsid w:val="000718E1"/>
    <w:rsid w:val="00073462"/>
    <w:rsid w:val="00073AD9"/>
    <w:rsid w:val="00075272"/>
    <w:rsid w:val="0007572A"/>
    <w:rsid w:val="00075ECD"/>
    <w:rsid w:val="00076278"/>
    <w:rsid w:val="0007789E"/>
    <w:rsid w:val="00077976"/>
    <w:rsid w:val="00081AE5"/>
    <w:rsid w:val="0008322B"/>
    <w:rsid w:val="0008370E"/>
    <w:rsid w:val="0008514D"/>
    <w:rsid w:val="00087201"/>
    <w:rsid w:val="00087CE5"/>
    <w:rsid w:val="00090828"/>
    <w:rsid w:val="00090C97"/>
    <w:rsid w:val="00091A12"/>
    <w:rsid w:val="00091AF3"/>
    <w:rsid w:val="000938F1"/>
    <w:rsid w:val="000950E3"/>
    <w:rsid w:val="00095414"/>
    <w:rsid w:val="0009651F"/>
    <w:rsid w:val="0009665A"/>
    <w:rsid w:val="000A2653"/>
    <w:rsid w:val="000A360D"/>
    <w:rsid w:val="000A42DC"/>
    <w:rsid w:val="000A435F"/>
    <w:rsid w:val="000A6390"/>
    <w:rsid w:val="000A6496"/>
    <w:rsid w:val="000A6E2F"/>
    <w:rsid w:val="000B01EE"/>
    <w:rsid w:val="000B1979"/>
    <w:rsid w:val="000B3609"/>
    <w:rsid w:val="000B42EE"/>
    <w:rsid w:val="000B47B3"/>
    <w:rsid w:val="000B4DF4"/>
    <w:rsid w:val="000B63D7"/>
    <w:rsid w:val="000B6614"/>
    <w:rsid w:val="000B6863"/>
    <w:rsid w:val="000C0DFE"/>
    <w:rsid w:val="000C1915"/>
    <w:rsid w:val="000C1EA3"/>
    <w:rsid w:val="000C2152"/>
    <w:rsid w:val="000C26FF"/>
    <w:rsid w:val="000C34DC"/>
    <w:rsid w:val="000C45D9"/>
    <w:rsid w:val="000C541F"/>
    <w:rsid w:val="000C59F3"/>
    <w:rsid w:val="000C6C66"/>
    <w:rsid w:val="000D00CB"/>
    <w:rsid w:val="000D1304"/>
    <w:rsid w:val="000D42AC"/>
    <w:rsid w:val="000D6041"/>
    <w:rsid w:val="000D6119"/>
    <w:rsid w:val="000E1B15"/>
    <w:rsid w:val="000E21C4"/>
    <w:rsid w:val="000E3568"/>
    <w:rsid w:val="000E4365"/>
    <w:rsid w:val="000E5696"/>
    <w:rsid w:val="000E79EA"/>
    <w:rsid w:val="000F0682"/>
    <w:rsid w:val="000F08B6"/>
    <w:rsid w:val="000F0BC4"/>
    <w:rsid w:val="000F122F"/>
    <w:rsid w:val="000F2B6B"/>
    <w:rsid w:val="000F2F89"/>
    <w:rsid w:val="000F3E4D"/>
    <w:rsid w:val="000F3E9D"/>
    <w:rsid w:val="000F42D7"/>
    <w:rsid w:val="000F441F"/>
    <w:rsid w:val="000F5367"/>
    <w:rsid w:val="000F6207"/>
    <w:rsid w:val="000F68FD"/>
    <w:rsid w:val="000F6CCC"/>
    <w:rsid w:val="001011E2"/>
    <w:rsid w:val="00101FEA"/>
    <w:rsid w:val="00102452"/>
    <w:rsid w:val="00103620"/>
    <w:rsid w:val="00103803"/>
    <w:rsid w:val="0010464F"/>
    <w:rsid w:val="00105419"/>
    <w:rsid w:val="00107008"/>
    <w:rsid w:val="00110943"/>
    <w:rsid w:val="00111074"/>
    <w:rsid w:val="0011456A"/>
    <w:rsid w:val="001147AA"/>
    <w:rsid w:val="00121C1F"/>
    <w:rsid w:val="00123B04"/>
    <w:rsid w:val="0012452C"/>
    <w:rsid w:val="00125B64"/>
    <w:rsid w:val="00126C5B"/>
    <w:rsid w:val="001317D8"/>
    <w:rsid w:val="0013243C"/>
    <w:rsid w:val="001337F7"/>
    <w:rsid w:val="0013607A"/>
    <w:rsid w:val="0013730F"/>
    <w:rsid w:val="00141095"/>
    <w:rsid w:val="0014255C"/>
    <w:rsid w:val="001429BF"/>
    <w:rsid w:val="00142A53"/>
    <w:rsid w:val="00142A6B"/>
    <w:rsid w:val="00143C40"/>
    <w:rsid w:val="00144AE9"/>
    <w:rsid w:val="00144BDC"/>
    <w:rsid w:val="00145493"/>
    <w:rsid w:val="0014559D"/>
    <w:rsid w:val="001509C9"/>
    <w:rsid w:val="00150EFC"/>
    <w:rsid w:val="0015233E"/>
    <w:rsid w:val="00152B15"/>
    <w:rsid w:val="001552D4"/>
    <w:rsid w:val="0015567D"/>
    <w:rsid w:val="00157389"/>
    <w:rsid w:val="00157428"/>
    <w:rsid w:val="00157626"/>
    <w:rsid w:val="00160895"/>
    <w:rsid w:val="00160E02"/>
    <w:rsid w:val="001618FA"/>
    <w:rsid w:val="00161E6D"/>
    <w:rsid w:val="00163D64"/>
    <w:rsid w:val="001661D5"/>
    <w:rsid w:val="001700CE"/>
    <w:rsid w:val="00170A4A"/>
    <w:rsid w:val="00170F4E"/>
    <w:rsid w:val="001716AF"/>
    <w:rsid w:val="001722F1"/>
    <w:rsid w:val="00172DA5"/>
    <w:rsid w:val="00175720"/>
    <w:rsid w:val="001761A1"/>
    <w:rsid w:val="00176640"/>
    <w:rsid w:val="001813A5"/>
    <w:rsid w:val="001821F2"/>
    <w:rsid w:val="00183F1E"/>
    <w:rsid w:val="00183F2D"/>
    <w:rsid w:val="00187A5B"/>
    <w:rsid w:val="00190DA9"/>
    <w:rsid w:val="0019454A"/>
    <w:rsid w:val="001946AB"/>
    <w:rsid w:val="00194CC0"/>
    <w:rsid w:val="00196DD3"/>
    <w:rsid w:val="001978A0"/>
    <w:rsid w:val="001A0787"/>
    <w:rsid w:val="001A0AD6"/>
    <w:rsid w:val="001A212F"/>
    <w:rsid w:val="001A46A8"/>
    <w:rsid w:val="001A796F"/>
    <w:rsid w:val="001B1347"/>
    <w:rsid w:val="001B57C2"/>
    <w:rsid w:val="001B59C3"/>
    <w:rsid w:val="001B5CE4"/>
    <w:rsid w:val="001B6887"/>
    <w:rsid w:val="001B69F8"/>
    <w:rsid w:val="001B6BD1"/>
    <w:rsid w:val="001B7037"/>
    <w:rsid w:val="001C5808"/>
    <w:rsid w:val="001C5B57"/>
    <w:rsid w:val="001C5EE7"/>
    <w:rsid w:val="001C6C89"/>
    <w:rsid w:val="001C7531"/>
    <w:rsid w:val="001D041B"/>
    <w:rsid w:val="001D1CD9"/>
    <w:rsid w:val="001D3D9B"/>
    <w:rsid w:val="001D6150"/>
    <w:rsid w:val="001D66F5"/>
    <w:rsid w:val="001E1FB9"/>
    <w:rsid w:val="001E1FE7"/>
    <w:rsid w:val="001E2C6D"/>
    <w:rsid w:val="001E49E7"/>
    <w:rsid w:val="001E4BA0"/>
    <w:rsid w:val="001E52C3"/>
    <w:rsid w:val="001E62EE"/>
    <w:rsid w:val="001E63D3"/>
    <w:rsid w:val="001E6CC8"/>
    <w:rsid w:val="001E7022"/>
    <w:rsid w:val="001E771E"/>
    <w:rsid w:val="001F0E61"/>
    <w:rsid w:val="001F28C7"/>
    <w:rsid w:val="001F3FC8"/>
    <w:rsid w:val="001F456C"/>
    <w:rsid w:val="001F5C86"/>
    <w:rsid w:val="001F60BC"/>
    <w:rsid w:val="001F7D85"/>
    <w:rsid w:val="002008D0"/>
    <w:rsid w:val="00200CD3"/>
    <w:rsid w:val="00200E03"/>
    <w:rsid w:val="00200FA0"/>
    <w:rsid w:val="00202518"/>
    <w:rsid w:val="002027EB"/>
    <w:rsid w:val="00203780"/>
    <w:rsid w:val="002057B1"/>
    <w:rsid w:val="00206F56"/>
    <w:rsid w:val="00210AE8"/>
    <w:rsid w:val="002114BE"/>
    <w:rsid w:val="00212262"/>
    <w:rsid w:val="002129C1"/>
    <w:rsid w:val="002137B4"/>
    <w:rsid w:val="002156CB"/>
    <w:rsid w:val="00216BE9"/>
    <w:rsid w:val="00216E5C"/>
    <w:rsid w:val="00217154"/>
    <w:rsid w:val="002178C1"/>
    <w:rsid w:val="00220EB0"/>
    <w:rsid w:val="002224E3"/>
    <w:rsid w:val="002232B7"/>
    <w:rsid w:val="002234BB"/>
    <w:rsid w:val="002234D3"/>
    <w:rsid w:val="00223539"/>
    <w:rsid w:val="00223DCA"/>
    <w:rsid w:val="002252B5"/>
    <w:rsid w:val="002257E0"/>
    <w:rsid w:val="00226482"/>
    <w:rsid w:val="00227619"/>
    <w:rsid w:val="00227853"/>
    <w:rsid w:val="00230612"/>
    <w:rsid w:val="0023080B"/>
    <w:rsid w:val="002312DC"/>
    <w:rsid w:val="002314AE"/>
    <w:rsid w:val="00234332"/>
    <w:rsid w:val="00234721"/>
    <w:rsid w:val="00234E25"/>
    <w:rsid w:val="00235218"/>
    <w:rsid w:val="00236F66"/>
    <w:rsid w:val="0024003F"/>
    <w:rsid w:val="00240706"/>
    <w:rsid w:val="00241756"/>
    <w:rsid w:val="00242F7D"/>
    <w:rsid w:val="00244FCA"/>
    <w:rsid w:val="002460D5"/>
    <w:rsid w:val="00246574"/>
    <w:rsid w:val="00246B63"/>
    <w:rsid w:val="0024792F"/>
    <w:rsid w:val="00252B5F"/>
    <w:rsid w:val="00253628"/>
    <w:rsid w:val="002537F4"/>
    <w:rsid w:val="00253CC9"/>
    <w:rsid w:val="00254BBE"/>
    <w:rsid w:val="00254C59"/>
    <w:rsid w:val="0025580B"/>
    <w:rsid w:val="002560A3"/>
    <w:rsid w:val="00256563"/>
    <w:rsid w:val="00260BB1"/>
    <w:rsid w:val="00260D3A"/>
    <w:rsid w:val="00262B16"/>
    <w:rsid w:val="00263A08"/>
    <w:rsid w:val="002647D5"/>
    <w:rsid w:val="002647E2"/>
    <w:rsid w:val="002664E3"/>
    <w:rsid w:val="00267DDE"/>
    <w:rsid w:val="00270135"/>
    <w:rsid w:val="00274EAE"/>
    <w:rsid w:val="0027566F"/>
    <w:rsid w:val="00275945"/>
    <w:rsid w:val="00275E2C"/>
    <w:rsid w:val="0027781D"/>
    <w:rsid w:val="00280FE6"/>
    <w:rsid w:val="00281785"/>
    <w:rsid w:val="00282E09"/>
    <w:rsid w:val="00282E1A"/>
    <w:rsid w:val="00284085"/>
    <w:rsid w:val="002841DA"/>
    <w:rsid w:val="002867BA"/>
    <w:rsid w:val="002875E8"/>
    <w:rsid w:val="00290103"/>
    <w:rsid w:val="00292857"/>
    <w:rsid w:val="00293025"/>
    <w:rsid w:val="002942DB"/>
    <w:rsid w:val="00295EC3"/>
    <w:rsid w:val="00296F62"/>
    <w:rsid w:val="00297684"/>
    <w:rsid w:val="002A0026"/>
    <w:rsid w:val="002A09F7"/>
    <w:rsid w:val="002A0E76"/>
    <w:rsid w:val="002A232F"/>
    <w:rsid w:val="002A2379"/>
    <w:rsid w:val="002A4D56"/>
    <w:rsid w:val="002A4E0C"/>
    <w:rsid w:val="002A5A29"/>
    <w:rsid w:val="002A687E"/>
    <w:rsid w:val="002A6DF1"/>
    <w:rsid w:val="002A6EF8"/>
    <w:rsid w:val="002A757A"/>
    <w:rsid w:val="002B0849"/>
    <w:rsid w:val="002B13DD"/>
    <w:rsid w:val="002B2432"/>
    <w:rsid w:val="002B26EA"/>
    <w:rsid w:val="002B5388"/>
    <w:rsid w:val="002B6065"/>
    <w:rsid w:val="002B75F2"/>
    <w:rsid w:val="002B77D2"/>
    <w:rsid w:val="002C043F"/>
    <w:rsid w:val="002C2F09"/>
    <w:rsid w:val="002C491D"/>
    <w:rsid w:val="002C5433"/>
    <w:rsid w:val="002C54E0"/>
    <w:rsid w:val="002C5833"/>
    <w:rsid w:val="002C61CD"/>
    <w:rsid w:val="002C6DD6"/>
    <w:rsid w:val="002C6E7C"/>
    <w:rsid w:val="002C7111"/>
    <w:rsid w:val="002D02D4"/>
    <w:rsid w:val="002D137D"/>
    <w:rsid w:val="002D18FC"/>
    <w:rsid w:val="002D2AC7"/>
    <w:rsid w:val="002D4ED5"/>
    <w:rsid w:val="002D50C6"/>
    <w:rsid w:val="002D6D2F"/>
    <w:rsid w:val="002D7118"/>
    <w:rsid w:val="002D7F65"/>
    <w:rsid w:val="002E0413"/>
    <w:rsid w:val="002E179F"/>
    <w:rsid w:val="002E34A6"/>
    <w:rsid w:val="002E6F06"/>
    <w:rsid w:val="002F01D3"/>
    <w:rsid w:val="002F07C5"/>
    <w:rsid w:val="002F0E22"/>
    <w:rsid w:val="002F103D"/>
    <w:rsid w:val="002F3630"/>
    <w:rsid w:val="002F4769"/>
    <w:rsid w:val="002F50E2"/>
    <w:rsid w:val="002F5202"/>
    <w:rsid w:val="002F6931"/>
    <w:rsid w:val="002F7439"/>
    <w:rsid w:val="002F7A61"/>
    <w:rsid w:val="00300AA0"/>
    <w:rsid w:val="0030674A"/>
    <w:rsid w:val="003071F7"/>
    <w:rsid w:val="00311148"/>
    <w:rsid w:val="00312E0D"/>
    <w:rsid w:val="003136F0"/>
    <w:rsid w:val="0031384F"/>
    <w:rsid w:val="00313C68"/>
    <w:rsid w:val="00315618"/>
    <w:rsid w:val="00315A4C"/>
    <w:rsid w:val="00315DD0"/>
    <w:rsid w:val="00316A18"/>
    <w:rsid w:val="00316AA0"/>
    <w:rsid w:val="0032037F"/>
    <w:rsid w:val="00320529"/>
    <w:rsid w:val="00321B57"/>
    <w:rsid w:val="00322E5D"/>
    <w:rsid w:val="003231E0"/>
    <w:rsid w:val="0032425E"/>
    <w:rsid w:val="0032456B"/>
    <w:rsid w:val="00324A91"/>
    <w:rsid w:val="0032567D"/>
    <w:rsid w:val="00325A33"/>
    <w:rsid w:val="00326065"/>
    <w:rsid w:val="0032692C"/>
    <w:rsid w:val="00326F1F"/>
    <w:rsid w:val="00327CB0"/>
    <w:rsid w:val="003303A7"/>
    <w:rsid w:val="00331D17"/>
    <w:rsid w:val="003325E6"/>
    <w:rsid w:val="00333C71"/>
    <w:rsid w:val="00334354"/>
    <w:rsid w:val="00334707"/>
    <w:rsid w:val="00334D03"/>
    <w:rsid w:val="00334D9E"/>
    <w:rsid w:val="00334F04"/>
    <w:rsid w:val="00335A22"/>
    <w:rsid w:val="00335F88"/>
    <w:rsid w:val="00336156"/>
    <w:rsid w:val="00337042"/>
    <w:rsid w:val="003424C4"/>
    <w:rsid w:val="00345307"/>
    <w:rsid w:val="003461E2"/>
    <w:rsid w:val="003464F2"/>
    <w:rsid w:val="00347786"/>
    <w:rsid w:val="00351420"/>
    <w:rsid w:val="00351551"/>
    <w:rsid w:val="00351BE5"/>
    <w:rsid w:val="00351EC9"/>
    <w:rsid w:val="00352A3B"/>
    <w:rsid w:val="00352B58"/>
    <w:rsid w:val="0035330F"/>
    <w:rsid w:val="00354552"/>
    <w:rsid w:val="0035469C"/>
    <w:rsid w:val="003549D5"/>
    <w:rsid w:val="00354BEF"/>
    <w:rsid w:val="003550D9"/>
    <w:rsid w:val="003566E3"/>
    <w:rsid w:val="00356D78"/>
    <w:rsid w:val="003570C6"/>
    <w:rsid w:val="0036169C"/>
    <w:rsid w:val="003630D6"/>
    <w:rsid w:val="00363C33"/>
    <w:rsid w:val="003653C5"/>
    <w:rsid w:val="003664E1"/>
    <w:rsid w:val="003710FA"/>
    <w:rsid w:val="00372813"/>
    <w:rsid w:val="003730BA"/>
    <w:rsid w:val="0037494C"/>
    <w:rsid w:val="00374CAA"/>
    <w:rsid w:val="003758B7"/>
    <w:rsid w:val="003764B4"/>
    <w:rsid w:val="00376868"/>
    <w:rsid w:val="0037747F"/>
    <w:rsid w:val="003778E4"/>
    <w:rsid w:val="00382ED9"/>
    <w:rsid w:val="00384B90"/>
    <w:rsid w:val="0038647F"/>
    <w:rsid w:val="00387172"/>
    <w:rsid w:val="003914EF"/>
    <w:rsid w:val="00392A73"/>
    <w:rsid w:val="00396174"/>
    <w:rsid w:val="003966A0"/>
    <w:rsid w:val="00396A38"/>
    <w:rsid w:val="00397AFA"/>
    <w:rsid w:val="003A1505"/>
    <w:rsid w:val="003A4B53"/>
    <w:rsid w:val="003A5FCA"/>
    <w:rsid w:val="003A6455"/>
    <w:rsid w:val="003A647C"/>
    <w:rsid w:val="003A6989"/>
    <w:rsid w:val="003A7767"/>
    <w:rsid w:val="003A7BEF"/>
    <w:rsid w:val="003B256B"/>
    <w:rsid w:val="003B3F2D"/>
    <w:rsid w:val="003B48AB"/>
    <w:rsid w:val="003B62D1"/>
    <w:rsid w:val="003B6874"/>
    <w:rsid w:val="003B7C18"/>
    <w:rsid w:val="003C18F7"/>
    <w:rsid w:val="003C1CA7"/>
    <w:rsid w:val="003C2250"/>
    <w:rsid w:val="003C5398"/>
    <w:rsid w:val="003C7248"/>
    <w:rsid w:val="003C767E"/>
    <w:rsid w:val="003D0FA6"/>
    <w:rsid w:val="003D24FD"/>
    <w:rsid w:val="003D29A7"/>
    <w:rsid w:val="003D353B"/>
    <w:rsid w:val="003D5700"/>
    <w:rsid w:val="003D7B99"/>
    <w:rsid w:val="003E0F4F"/>
    <w:rsid w:val="003E1083"/>
    <w:rsid w:val="003E1DA4"/>
    <w:rsid w:val="003E258E"/>
    <w:rsid w:val="003E3684"/>
    <w:rsid w:val="003E3A29"/>
    <w:rsid w:val="003E3B00"/>
    <w:rsid w:val="003E4659"/>
    <w:rsid w:val="003E4FD5"/>
    <w:rsid w:val="003E62A7"/>
    <w:rsid w:val="003E6C45"/>
    <w:rsid w:val="003F033E"/>
    <w:rsid w:val="003F1A5F"/>
    <w:rsid w:val="003F2410"/>
    <w:rsid w:val="003F3D32"/>
    <w:rsid w:val="003F4491"/>
    <w:rsid w:val="003F5B2F"/>
    <w:rsid w:val="003F5C00"/>
    <w:rsid w:val="003F603C"/>
    <w:rsid w:val="003F6057"/>
    <w:rsid w:val="003F63D0"/>
    <w:rsid w:val="003F6A26"/>
    <w:rsid w:val="00400B60"/>
    <w:rsid w:val="004010B1"/>
    <w:rsid w:val="0040122F"/>
    <w:rsid w:val="00402526"/>
    <w:rsid w:val="004031F6"/>
    <w:rsid w:val="00405B4B"/>
    <w:rsid w:val="00405BA4"/>
    <w:rsid w:val="00405F07"/>
    <w:rsid w:val="00406233"/>
    <w:rsid w:val="0040778D"/>
    <w:rsid w:val="0041057F"/>
    <w:rsid w:val="004128EF"/>
    <w:rsid w:val="004141EF"/>
    <w:rsid w:val="004157FF"/>
    <w:rsid w:val="004168D0"/>
    <w:rsid w:val="00416BC8"/>
    <w:rsid w:val="00420922"/>
    <w:rsid w:val="00421341"/>
    <w:rsid w:val="0042231A"/>
    <w:rsid w:val="00422542"/>
    <w:rsid w:val="004232CF"/>
    <w:rsid w:val="00423CF3"/>
    <w:rsid w:val="00423D75"/>
    <w:rsid w:val="00424253"/>
    <w:rsid w:val="004257EC"/>
    <w:rsid w:val="00426CE6"/>
    <w:rsid w:val="00430139"/>
    <w:rsid w:val="004306CC"/>
    <w:rsid w:val="00430B83"/>
    <w:rsid w:val="00430BE5"/>
    <w:rsid w:val="00431900"/>
    <w:rsid w:val="0043509A"/>
    <w:rsid w:val="00436B47"/>
    <w:rsid w:val="00437F7B"/>
    <w:rsid w:val="00440715"/>
    <w:rsid w:val="00440D56"/>
    <w:rsid w:val="00440EA0"/>
    <w:rsid w:val="004431BD"/>
    <w:rsid w:val="00445ADC"/>
    <w:rsid w:val="00445B12"/>
    <w:rsid w:val="00445E12"/>
    <w:rsid w:val="00445FCE"/>
    <w:rsid w:val="00447430"/>
    <w:rsid w:val="0045025B"/>
    <w:rsid w:val="00452DC7"/>
    <w:rsid w:val="004537BF"/>
    <w:rsid w:val="00455658"/>
    <w:rsid w:val="00456D2C"/>
    <w:rsid w:val="004606AB"/>
    <w:rsid w:val="00460B18"/>
    <w:rsid w:val="004615D9"/>
    <w:rsid w:val="00462A35"/>
    <w:rsid w:val="00463976"/>
    <w:rsid w:val="00464BA6"/>
    <w:rsid w:val="004654A8"/>
    <w:rsid w:val="0046583E"/>
    <w:rsid w:val="004712EC"/>
    <w:rsid w:val="00471375"/>
    <w:rsid w:val="004717A3"/>
    <w:rsid w:val="004747E4"/>
    <w:rsid w:val="00474A9B"/>
    <w:rsid w:val="00475150"/>
    <w:rsid w:val="004751AD"/>
    <w:rsid w:val="00475A01"/>
    <w:rsid w:val="00475DCA"/>
    <w:rsid w:val="00482C79"/>
    <w:rsid w:val="00482D34"/>
    <w:rsid w:val="00482EFC"/>
    <w:rsid w:val="004830EE"/>
    <w:rsid w:val="004834FB"/>
    <w:rsid w:val="00483810"/>
    <w:rsid w:val="004844F6"/>
    <w:rsid w:val="00484FAA"/>
    <w:rsid w:val="004853B3"/>
    <w:rsid w:val="00487DF4"/>
    <w:rsid w:val="00490EB4"/>
    <w:rsid w:val="00491118"/>
    <w:rsid w:val="004911B9"/>
    <w:rsid w:val="00491886"/>
    <w:rsid w:val="004931A8"/>
    <w:rsid w:val="0049332E"/>
    <w:rsid w:val="004959F1"/>
    <w:rsid w:val="004971E6"/>
    <w:rsid w:val="004A0D6B"/>
    <w:rsid w:val="004A101A"/>
    <w:rsid w:val="004A1235"/>
    <w:rsid w:val="004A2335"/>
    <w:rsid w:val="004A2CBB"/>
    <w:rsid w:val="004A429F"/>
    <w:rsid w:val="004A4A54"/>
    <w:rsid w:val="004A5648"/>
    <w:rsid w:val="004A5BB5"/>
    <w:rsid w:val="004A6CF0"/>
    <w:rsid w:val="004A7BE4"/>
    <w:rsid w:val="004B31ED"/>
    <w:rsid w:val="004B37ED"/>
    <w:rsid w:val="004B38DD"/>
    <w:rsid w:val="004B3997"/>
    <w:rsid w:val="004B4B35"/>
    <w:rsid w:val="004B53F5"/>
    <w:rsid w:val="004B60B7"/>
    <w:rsid w:val="004B67AA"/>
    <w:rsid w:val="004C1A21"/>
    <w:rsid w:val="004C2791"/>
    <w:rsid w:val="004C2947"/>
    <w:rsid w:val="004C382A"/>
    <w:rsid w:val="004C490C"/>
    <w:rsid w:val="004C4DD5"/>
    <w:rsid w:val="004C50AC"/>
    <w:rsid w:val="004C61AD"/>
    <w:rsid w:val="004C664E"/>
    <w:rsid w:val="004C6E16"/>
    <w:rsid w:val="004C745B"/>
    <w:rsid w:val="004D0C43"/>
    <w:rsid w:val="004D21C8"/>
    <w:rsid w:val="004D36DD"/>
    <w:rsid w:val="004D495D"/>
    <w:rsid w:val="004D4D8A"/>
    <w:rsid w:val="004D71C3"/>
    <w:rsid w:val="004E02D9"/>
    <w:rsid w:val="004E2EA7"/>
    <w:rsid w:val="004E46EA"/>
    <w:rsid w:val="004E6EC6"/>
    <w:rsid w:val="004E71EB"/>
    <w:rsid w:val="004F0383"/>
    <w:rsid w:val="004F1A5D"/>
    <w:rsid w:val="004F4C0E"/>
    <w:rsid w:val="004F54E6"/>
    <w:rsid w:val="004F7DC4"/>
    <w:rsid w:val="004F7E68"/>
    <w:rsid w:val="00500A6A"/>
    <w:rsid w:val="005021F7"/>
    <w:rsid w:val="005026BD"/>
    <w:rsid w:val="005057C4"/>
    <w:rsid w:val="0050642F"/>
    <w:rsid w:val="00507128"/>
    <w:rsid w:val="00511CE2"/>
    <w:rsid w:val="0051263C"/>
    <w:rsid w:val="005128AA"/>
    <w:rsid w:val="00513850"/>
    <w:rsid w:val="00513919"/>
    <w:rsid w:val="00514373"/>
    <w:rsid w:val="005170FC"/>
    <w:rsid w:val="00523431"/>
    <w:rsid w:val="00523F0B"/>
    <w:rsid w:val="0052526C"/>
    <w:rsid w:val="00525B93"/>
    <w:rsid w:val="00527DE7"/>
    <w:rsid w:val="00530D44"/>
    <w:rsid w:val="0053152D"/>
    <w:rsid w:val="00532622"/>
    <w:rsid w:val="00535128"/>
    <w:rsid w:val="00540359"/>
    <w:rsid w:val="005404A8"/>
    <w:rsid w:val="0054099A"/>
    <w:rsid w:val="00541AC6"/>
    <w:rsid w:val="00542FAD"/>
    <w:rsid w:val="0054378E"/>
    <w:rsid w:val="00543A6B"/>
    <w:rsid w:val="005440AF"/>
    <w:rsid w:val="005457A4"/>
    <w:rsid w:val="00545E39"/>
    <w:rsid w:val="005462CF"/>
    <w:rsid w:val="00546ABD"/>
    <w:rsid w:val="00546FC2"/>
    <w:rsid w:val="005476B6"/>
    <w:rsid w:val="0055025D"/>
    <w:rsid w:val="00550632"/>
    <w:rsid w:val="00551355"/>
    <w:rsid w:val="00551A13"/>
    <w:rsid w:val="0055492E"/>
    <w:rsid w:val="005549A8"/>
    <w:rsid w:val="00556692"/>
    <w:rsid w:val="00562682"/>
    <w:rsid w:val="00563C83"/>
    <w:rsid w:val="00564D1C"/>
    <w:rsid w:val="0056594E"/>
    <w:rsid w:val="00565A43"/>
    <w:rsid w:val="005667DB"/>
    <w:rsid w:val="00566BEB"/>
    <w:rsid w:val="00566FA5"/>
    <w:rsid w:val="0056722C"/>
    <w:rsid w:val="005713EB"/>
    <w:rsid w:val="00572231"/>
    <w:rsid w:val="0057337F"/>
    <w:rsid w:val="00573D46"/>
    <w:rsid w:val="0057552D"/>
    <w:rsid w:val="00576144"/>
    <w:rsid w:val="00576BD3"/>
    <w:rsid w:val="00577EBF"/>
    <w:rsid w:val="00580847"/>
    <w:rsid w:val="00580D5E"/>
    <w:rsid w:val="00581A2B"/>
    <w:rsid w:val="00581B29"/>
    <w:rsid w:val="00581ECD"/>
    <w:rsid w:val="00582DC6"/>
    <w:rsid w:val="00582FB4"/>
    <w:rsid w:val="005831FB"/>
    <w:rsid w:val="00583772"/>
    <w:rsid w:val="0058428B"/>
    <w:rsid w:val="00585A4F"/>
    <w:rsid w:val="005864B8"/>
    <w:rsid w:val="005864D9"/>
    <w:rsid w:val="00586947"/>
    <w:rsid w:val="005908D5"/>
    <w:rsid w:val="00592582"/>
    <w:rsid w:val="00594C0F"/>
    <w:rsid w:val="00594D95"/>
    <w:rsid w:val="00595991"/>
    <w:rsid w:val="005960EB"/>
    <w:rsid w:val="00596365"/>
    <w:rsid w:val="00597BE3"/>
    <w:rsid w:val="00597D04"/>
    <w:rsid w:val="005A2021"/>
    <w:rsid w:val="005A24D9"/>
    <w:rsid w:val="005A43B3"/>
    <w:rsid w:val="005A5A5E"/>
    <w:rsid w:val="005A5F86"/>
    <w:rsid w:val="005B17C3"/>
    <w:rsid w:val="005B2293"/>
    <w:rsid w:val="005B4409"/>
    <w:rsid w:val="005B4F74"/>
    <w:rsid w:val="005B6755"/>
    <w:rsid w:val="005B7338"/>
    <w:rsid w:val="005B7663"/>
    <w:rsid w:val="005C0263"/>
    <w:rsid w:val="005C050B"/>
    <w:rsid w:val="005C08DA"/>
    <w:rsid w:val="005C2C38"/>
    <w:rsid w:val="005C4D70"/>
    <w:rsid w:val="005C6473"/>
    <w:rsid w:val="005C6A7B"/>
    <w:rsid w:val="005C72AB"/>
    <w:rsid w:val="005D0CB9"/>
    <w:rsid w:val="005D15B5"/>
    <w:rsid w:val="005D16BA"/>
    <w:rsid w:val="005D1F84"/>
    <w:rsid w:val="005D2E93"/>
    <w:rsid w:val="005D365B"/>
    <w:rsid w:val="005D40EE"/>
    <w:rsid w:val="005D5A3C"/>
    <w:rsid w:val="005D5AC0"/>
    <w:rsid w:val="005D632F"/>
    <w:rsid w:val="005D6D69"/>
    <w:rsid w:val="005D70DF"/>
    <w:rsid w:val="005D7766"/>
    <w:rsid w:val="005D7F97"/>
    <w:rsid w:val="005E0E24"/>
    <w:rsid w:val="005E1608"/>
    <w:rsid w:val="005E17BC"/>
    <w:rsid w:val="005E2BA4"/>
    <w:rsid w:val="005E5840"/>
    <w:rsid w:val="005E5928"/>
    <w:rsid w:val="005E7ADE"/>
    <w:rsid w:val="005E7D40"/>
    <w:rsid w:val="005F14CF"/>
    <w:rsid w:val="005F1C27"/>
    <w:rsid w:val="005F1F2A"/>
    <w:rsid w:val="005F4BA8"/>
    <w:rsid w:val="005F4BB2"/>
    <w:rsid w:val="005F55C8"/>
    <w:rsid w:val="0060212D"/>
    <w:rsid w:val="00602CF5"/>
    <w:rsid w:val="0060473E"/>
    <w:rsid w:val="006054CE"/>
    <w:rsid w:val="006057BC"/>
    <w:rsid w:val="00605BAF"/>
    <w:rsid w:val="0060711A"/>
    <w:rsid w:val="0060792D"/>
    <w:rsid w:val="00607BC9"/>
    <w:rsid w:val="0061028A"/>
    <w:rsid w:val="00610585"/>
    <w:rsid w:val="00610FDA"/>
    <w:rsid w:val="0061190E"/>
    <w:rsid w:val="00611C2C"/>
    <w:rsid w:val="00612263"/>
    <w:rsid w:val="006132C9"/>
    <w:rsid w:val="00614F13"/>
    <w:rsid w:val="006150AF"/>
    <w:rsid w:val="00615AC8"/>
    <w:rsid w:val="006218DF"/>
    <w:rsid w:val="00622A64"/>
    <w:rsid w:val="00624FB0"/>
    <w:rsid w:val="0062540F"/>
    <w:rsid w:val="00625C02"/>
    <w:rsid w:val="00626396"/>
    <w:rsid w:val="00626E17"/>
    <w:rsid w:val="0063053B"/>
    <w:rsid w:val="00630F23"/>
    <w:rsid w:val="006312EC"/>
    <w:rsid w:val="00632E45"/>
    <w:rsid w:val="00633FFA"/>
    <w:rsid w:val="00634F44"/>
    <w:rsid w:val="006355FA"/>
    <w:rsid w:val="00635D72"/>
    <w:rsid w:val="00640994"/>
    <w:rsid w:val="00644E9D"/>
    <w:rsid w:val="00645890"/>
    <w:rsid w:val="0064608C"/>
    <w:rsid w:val="00646988"/>
    <w:rsid w:val="006473F5"/>
    <w:rsid w:val="00655073"/>
    <w:rsid w:val="00656C1A"/>
    <w:rsid w:val="006618EF"/>
    <w:rsid w:val="0066467D"/>
    <w:rsid w:val="00664A9D"/>
    <w:rsid w:val="0066636F"/>
    <w:rsid w:val="00667372"/>
    <w:rsid w:val="00671B74"/>
    <w:rsid w:val="00671C8F"/>
    <w:rsid w:val="0067242D"/>
    <w:rsid w:val="0067342F"/>
    <w:rsid w:val="00675CB6"/>
    <w:rsid w:val="00675CD4"/>
    <w:rsid w:val="00676B7C"/>
    <w:rsid w:val="0068017B"/>
    <w:rsid w:val="00680A9D"/>
    <w:rsid w:val="00680F38"/>
    <w:rsid w:val="00680F59"/>
    <w:rsid w:val="0068362D"/>
    <w:rsid w:val="00683C90"/>
    <w:rsid w:val="00683E12"/>
    <w:rsid w:val="006866C6"/>
    <w:rsid w:val="00686F46"/>
    <w:rsid w:val="00691046"/>
    <w:rsid w:val="00691FC3"/>
    <w:rsid w:val="0069203F"/>
    <w:rsid w:val="00692079"/>
    <w:rsid w:val="00693201"/>
    <w:rsid w:val="006A0F55"/>
    <w:rsid w:val="006A1489"/>
    <w:rsid w:val="006A2B02"/>
    <w:rsid w:val="006A2ED8"/>
    <w:rsid w:val="006A5D08"/>
    <w:rsid w:val="006A5E53"/>
    <w:rsid w:val="006A71B9"/>
    <w:rsid w:val="006A7325"/>
    <w:rsid w:val="006A734F"/>
    <w:rsid w:val="006A7ACD"/>
    <w:rsid w:val="006B093E"/>
    <w:rsid w:val="006B1B81"/>
    <w:rsid w:val="006B5029"/>
    <w:rsid w:val="006B5527"/>
    <w:rsid w:val="006B78EA"/>
    <w:rsid w:val="006B7AA5"/>
    <w:rsid w:val="006B7CA8"/>
    <w:rsid w:val="006C147F"/>
    <w:rsid w:val="006C1599"/>
    <w:rsid w:val="006C1948"/>
    <w:rsid w:val="006C4B6A"/>
    <w:rsid w:val="006C65EE"/>
    <w:rsid w:val="006C6897"/>
    <w:rsid w:val="006D168D"/>
    <w:rsid w:val="006D22CA"/>
    <w:rsid w:val="006D3B72"/>
    <w:rsid w:val="006D3BF4"/>
    <w:rsid w:val="006D4BB3"/>
    <w:rsid w:val="006D6BB4"/>
    <w:rsid w:val="006E0BBA"/>
    <w:rsid w:val="006E0BF6"/>
    <w:rsid w:val="006E16D9"/>
    <w:rsid w:val="006E2F7E"/>
    <w:rsid w:val="006E33B2"/>
    <w:rsid w:val="006E33E7"/>
    <w:rsid w:val="006E3629"/>
    <w:rsid w:val="006E4366"/>
    <w:rsid w:val="006E662A"/>
    <w:rsid w:val="006E7AD9"/>
    <w:rsid w:val="006F0433"/>
    <w:rsid w:val="006F0C36"/>
    <w:rsid w:val="006F1B07"/>
    <w:rsid w:val="006F1FD8"/>
    <w:rsid w:val="006F20EE"/>
    <w:rsid w:val="006F2A97"/>
    <w:rsid w:val="006F3C2C"/>
    <w:rsid w:val="00700BFD"/>
    <w:rsid w:val="007011D4"/>
    <w:rsid w:val="00701388"/>
    <w:rsid w:val="00701513"/>
    <w:rsid w:val="0070209D"/>
    <w:rsid w:val="007063EF"/>
    <w:rsid w:val="007072C0"/>
    <w:rsid w:val="00707FDA"/>
    <w:rsid w:val="007118D9"/>
    <w:rsid w:val="00712491"/>
    <w:rsid w:val="00712976"/>
    <w:rsid w:val="00713AB4"/>
    <w:rsid w:val="0071436A"/>
    <w:rsid w:val="007152C7"/>
    <w:rsid w:val="00715895"/>
    <w:rsid w:val="007158D4"/>
    <w:rsid w:val="0071755C"/>
    <w:rsid w:val="00720107"/>
    <w:rsid w:val="00721AAA"/>
    <w:rsid w:val="00724694"/>
    <w:rsid w:val="00725654"/>
    <w:rsid w:val="00725A1C"/>
    <w:rsid w:val="00727016"/>
    <w:rsid w:val="00727531"/>
    <w:rsid w:val="0073001B"/>
    <w:rsid w:val="00732651"/>
    <w:rsid w:val="00733276"/>
    <w:rsid w:val="00733E60"/>
    <w:rsid w:val="007342A6"/>
    <w:rsid w:val="007351A6"/>
    <w:rsid w:val="00735C7F"/>
    <w:rsid w:val="00740801"/>
    <w:rsid w:val="00740CC5"/>
    <w:rsid w:val="007414A7"/>
    <w:rsid w:val="00744711"/>
    <w:rsid w:val="00744D07"/>
    <w:rsid w:val="00750CFC"/>
    <w:rsid w:val="007510F6"/>
    <w:rsid w:val="0075131C"/>
    <w:rsid w:val="00751540"/>
    <w:rsid w:val="00751E6B"/>
    <w:rsid w:val="007532EC"/>
    <w:rsid w:val="007554AD"/>
    <w:rsid w:val="00760BB4"/>
    <w:rsid w:val="0076104D"/>
    <w:rsid w:val="007611EC"/>
    <w:rsid w:val="00761393"/>
    <w:rsid w:val="00761582"/>
    <w:rsid w:val="00762477"/>
    <w:rsid w:val="00764965"/>
    <w:rsid w:val="00765FC9"/>
    <w:rsid w:val="00766A03"/>
    <w:rsid w:val="00766F32"/>
    <w:rsid w:val="00770D67"/>
    <w:rsid w:val="007713E5"/>
    <w:rsid w:val="0077247C"/>
    <w:rsid w:val="007734C3"/>
    <w:rsid w:val="007738B2"/>
    <w:rsid w:val="00775E34"/>
    <w:rsid w:val="0077639D"/>
    <w:rsid w:val="007775D4"/>
    <w:rsid w:val="0077799C"/>
    <w:rsid w:val="00777B8D"/>
    <w:rsid w:val="00777DF4"/>
    <w:rsid w:val="0078178F"/>
    <w:rsid w:val="007841AE"/>
    <w:rsid w:val="00784258"/>
    <w:rsid w:val="0078448F"/>
    <w:rsid w:val="00784B29"/>
    <w:rsid w:val="007864BE"/>
    <w:rsid w:val="007872D6"/>
    <w:rsid w:val="007877EB"/>
    <w:rsid w:val="0079037E"/>
    <w:rsid w:val="00790D83"/>
    <w:rsid w:val="00790EA7"/>
    <w:rsid w:val="00790F9A"/>
    <w:rsid w:val="00791CC2"/>
    <w:rsid w:val="00792D38"/>
    <w:rsid w:val="00794A72"/>
    <w:rsid w:val="00794D13"/>
    <w:rsid w:val="0079552D"/>
    <w:rsid w:val="007962A5"/>
    <w:rsid w:val="007969C7"/>
    <w:rsid w:val="007978ED"/>
    <w:rsid w:val="007A0952"/>
    <w:rsid w:val="007A2AB5"/>
    <w:rsid w:val="007A31FE"/>
    <w:rsid w:val="007A3645"/>
    <w:rsid w:val="007A4F8B"/>
    <w:rsid w:val="007A61BB"/>
    <w:rsid w:val="007A669F"/>
    <w:rsid w:val="007A7166"/>
    <w:rsid w:val="007A78EB"/>
    <w:rsid w:val="007B1428"/>
    <w:rsid w:val="007B3837"/>
    <w:rsid w:val="007B43EC"/>
    <w:rsid w:val="007B46ED"/>
    <w:rsid w:val="007B4943"/>
    <w:rsid w:val="007B4A0E"/>
    <w:rsid w:val="007B4BFA"/>
    <w:rsid w:val="007B6361"/>
    <w:rsid w:val="007B6784"/>
    <w:rsid w:val="007C00E5"/>
    <w:rsid w:val="007C1165"/>
    <w:rsid w:val="007C3EA4"/>
    <w:rsid w:val="007C5F5C"/>
    <w:rsid w:val="007C627D"/>
    <w:rsid w:val="007C764A"/>
    <w:rsid w:val="007D1D17"/>
    <w:rsid w:val="007D237B"/>
    <w:rsid w:val="007D3942"/>
    <w:rsid w:val="007D4138"/>
    <w:rsid w:val="007D4CB3"/>
    <w:rsid w:val="007D7FB3"/>
    <w:rsid w:val="007E1074"/>
    <w:rsid w:val="007E2673"/>
    <w:rsid w:val="007E32AD"/>
    <w:rsid w:val="007E489E"/>
    <w:rsid w:val="007E5D38"/>
    <w:rsid w:val="007F197D"/>
    <w:rsid w:val="007F68C0"/>
    <w:rsid w:val="007F69D6"/>
    <w:rsid w:val="007F6ADE"/>
    <w:rsid w:val="007F6C9F"/>
    <w:rsid w:val="007F6CF5"/>
    <w:rsid w:val="007F6DB0"/>
    <w:rsid w:val="007F760C"/>
    <w:rsid w:val="007F7CD1"/>
    <w:rsid w:val="008001E1"/>
    <w:rsid w:val="00800F4D"/>
    <w:rsid w:val="00804A62"/>
    <w:rsid w:val="00804C05"/>
    <w:rsid w:val="00804DE0"/>
    <w:rsid w:val="008079BE"/>
    <w:rsid w:val="008108AD"/>
    <w:rsid w:val="0081137A"/>
    <w:rsid w:val="008117B2"/>
    <w:rsid w:val="00811D3C"/>
    <w:rsid w:val="00811D51"/>
    <w:rsid w:val="00813FA2"/>
    <w:rsid w:val="00814026"/>
    <w:rsid w:val="00814642"/>
    <w:rsid w:val="00817446"/>
    <w:rsid w:val="008214FE"/>
    <w:rsid w:val="00821742"/>
    <w:rsid w:val="00822233"/>
    <w:rsid w:val="00823E81"/>
    <w:rsid w:val="00824831"/>
    <w:rsid w:val="008248A9"/>
    <w:rsid w:val="00824D7B"/>
    <w:rsid w:val="00825457"/>
    <w:rsid w:val="00826462"/>
    <w:rsid w:val="00826727"/>
    <w:rsid w:val="008312A1"/>
    <w:rsid w:val="00831F1A"/>
    <w:rsid w:val="008320B1"/>
    <w:rsid w:val="00833C49"/>
    <w:rsid w:val="00833D49"/>
    <w:rsid w:val="00835D62"/>
    <w:rsid w:val="00836201"/>
    <w:rsid w:val="0083715A"/>
    <w:rsid w:val="00837297"/>
    <w:rsid w:val="00837ACE"/>
    <w:rsid w:val="0084192B"/>
    <w:rsid w:val="00842A40"/>
    <w:rsid w:val="008438C6"/>
    <w:rsid w:val="008440D4"/>
    <w:rsid w:val="0084451A"/>
    <w:rsid w:val="00844737"/>
    <w:rsid w:val="00844EFE"/>
    <w:rsid w:val="008458D1"/>
    <w:rsid w:val="00845AD6"/>
    <w:rsid w:val="008465E2"/>
    <w:rsid w:val="00847352"/>
    <w:rsid w:val="00847A39"/>
    <w:rsid w:val="00851775"/>
    <w:rsid w:val="008522BB"/>
    <w:rsid w:val="00854729"/>
    <w:rsid w:val="00855456"/>
    <w:rsid w:val="00856534"/>
    <w:rsid w:val="00857855"/>
    <w:rsid w:val="00857BDA"/>
    <w:rsid w:val="00857C1A"/>
    <w:rsid w:val="008600E4"/>
    <w:rsid w:val="00860D34"/>
    <w:rsid w:val="008617CF"/>
    <w:rsid w:val="0086558E"/>
    <w:rsid w:val="00865B7B"/>
    <w:rsid w:val="00866E46"/>
    <w:rsid w:val="00867404"/>
    <w:rsid w:val="00867FB7"/>
    <w:rsid w:val="0087077E"/>
    <w:rsid w:val="00870BB6"/>
    <w:rsid w:val="008721DE"/>
    <w:rsid w:val="008729C7"/>
    <w:rsid w:val="00873A22"/>
    <w:rsid w:val="00873AFB"/>
    <w:rsid w:val="0087471C"/>
    <w:rsid w:val="00874DC9"/>
    <w:rsid w:val="00874F84"/>
    <w:rsid w:val="0087635C"/>
    <w:rsid w:val="008809E2"/>
    <w:rsid w:val="0088253D"/>
    <w:rsid w:val="008833ED"/>
    <w:rsid w:val="00884B48"/>
    <w:rsid w:val="00885F21"/>
    <w:rsid w:val="008874AE"/>
    <w:rsid w:val="00890E6F"/>
    <w:rsid w:val="00892363"/>
    <w:rsid w:val="008940F5"/>
    <w:rsid w:val="008953D0"/>
    <w:rsid w:val="008972A9"/>
    <w:rsid w:val="008A0710"/>
    <w:rsid w:val="008A0D45"/>
    <w:rsid w:val="008A4911"/>
    <w:rsid w:val="008A4F9E"/>
    <w:rsid w:val="008A5757"/>
    <w:rsid w:val="008A619B"/>
    <w:rsid w:val="008A62AD"/>
    <w:rsid w:val="008A63A0"/>
    <w:rsid w:val="008B02F0"/>
    <w:rsid w:val="008B0D55"/>
    <w:rsid w:val="008B1950"/>
    <w:rsid w:val="008B1A78"/>
    <w:rsid w:val="008B1F2D"/>
    <w:rsid w:val="008B26DD"/>
    <w:rsid w:val="008B29EA"/>
    <w:rsid w:val="008B52DB"/>
    <w:rsid w:val="008B5420"/>
    <w:rsid w:val="008B62A0"/>
    <w:rsid w:val="008B6441"/>
    <w:rsid w:val="008C02A2"/>
    <w:rsid w:val="008C1A28"/>
    <w:rsid w:val="008C24B6"/>
    <w:rsid w:val="008C2F23"/>
    <w:rsid w:val="008C47DE"/>
    <w:rsid w:val="008C4C38"/>
    <w:rsid w:val="008C6CA3"/>
    <w:rsid w:val="008C7CD9"/>
    <w:rsid w:val="008D09D3"/>
    <w:rsid w:val="008D1492"/>
    <w:rsid w:val="008D2D94"/>
    <w:rsid w:val="008D2FA1"/>
    <w:rsid w:val="008D319F"/>
    <w:rsid w:val="008D3D71"/>
    <w:rsid w:val="008D5335"/>
    <w:rsid w:val="008D5683"/>
    <w:rsid w:val="008D5A69"/>
    <w:rsid w:val="008D6F7D"/>
    <w:rsid w:val="008D74B8"/>
    <w:rsid w:val="008E0496"/>
    <w:rsid w:val="008E2943"/>
    <w:rsid w:val="008E2B04"/>
    <w:rsid w:val="008E30FF"/>
    <w:rsid w:val="008E41AC"/>
    <w:rsid w:val="008E5338"/>
    <w:rsid w:val="008E6DA1"/>
    <w:rsid w:val="008E7EEA"/>
    <w:rsid w:val="008F1E99"/>
    <w:rsid w:val="008F3E83"/>
    <w:rsid w:val="008F5AC3"/>
    <w:rsid w:val="008F716F"/>
    <w:rsid w:val="008F7CB2"/>
    <w:rsid w:val="00900955"/>
    <w:rsid w:val="0090269D"/>
    <w:rsid w:val="00905387"/>
    <w:rsid w:val="00905507"/>
    <w:rsid w:val="00905628"/>
    <w:rsid w:val="009059D0"/>
    <w:rsid w:val="009060A6"/>
    <w:rsid w:val="009109A6"/>
    <w:rsid w:val="00910FB8"/>
    <w:rsid w:val="00915F95"/>
    <w:rsid w:val="00920F40"/>
    <w:rsid w:val="00921617"/>
    <w:rsid w:val="00921772"/>
    <w:rsid w:val="00921EA2"/>
    <w:rsid w:val="0092305B"/>
    <w:rsid w:val="009239BB"/>
    <w:rsid w:val="00925682"/>
    <w:rsid w:val="00925BF4"/>
    <w:rsid w:val="00925C68"/>
    <w:rsid w:val="009265CD"/>
    <w:rsid w:val="00927C7F"/>
    <w:rsid w:val="00932E42"/>
    <w:rsid w:val="009332E1"/>
    <w:rsid w:val="00933703"/>
    <w:rsid w:val="009369B6"/>
    <w:rsid w:val="00936DB3"/>
    <w:rsid w:val="00937270"/>
    <w:rsid w:val="009401D7"/>
    <w:rsid w:val="009403DC"/>
    <w:rsid w:val="00941821"/>
    <w:rsid w:val="00943FA6"/>
    <w:rsid w:val="00944C37"/>
    <w:rsid w:val="00945CF0"/>
    <w:rsid w:val="00946806"/>
    <w:rsid w:val="0095061F"/>
    <w:rsid w:val="00952942"/>
    <w:rsid w:val="00952AFA"/>
    <w:rsid w:val="00954053"/>
    <w:rsid w:val="0095446D"/>
    <w:rsid w:val="00955273"/>
    <w:rsid w:val="009564E0"/>
    <w:rsid w:val="00960A57"/>
    <w:rsid w:val="0096119D"/>
    <w:rsid w:val="00963DA1"/>
    <w:rsid w:val="009649BF"/>
    <w:rsid w:val="0096556F"/>
    <w:rsid w:val="00966054"/>
    <w:rsid w:val="00972A84"/>
    <w:rsid w:val="00973249"/>
    <w:rsid w:val="00973A8E"/>
    <w:rsid w:val="00974A69"/>
    <w:rsid w:val="00974CB7"/>
    <w:rsid w:val="009759CC"/>
    <w:rsid w:val="009759D7"/>
    <w:rsid w:val="0097680E"/>
    <w:rsid w:val="00976A89"/>
    <w:rsid w:val="00980084"/>
    <w:rsid w:val="00980638"/>
    <w:rsid w:val="0098092A"/>
    <w:rsid w:val="00980F71"/>
    <w:rsid w:val="0098345E"/>
    <w:rsid w:val="00983F3A"/>
    <w:rsid w:val="009843A2"/>
    <w:rsid w:val="00984ADA"/>
    <w:rsid w:val="00984E9D"/>
    <w:rsid w:val="00985FEB"/>
    <w:rsid w:val="009864AB"/>
    <w:rsid w:val="00986F51"/>
    <w:rsid w:val="00987DFC"/>
    <w:rsid w:val="00990FCA"/>
    <w:rsid w:val="00991DEA"/>
    <w:rsid w:val="009920EF"/>
    <w:rsid w:val="00992257"/>
    <w:rsid w:val="00992ED1"/>
    <w:rsid w:val="009946F8"/>
    <w:rsid w:val="00996349"/>
    <w:rsid w:val="009967C0"/>
    <w:rsid w:val="00996ABE"/>
    <w:rsid w:val="00997621"/>
    <w:rsid w:val="009A1BEA"/>
    <w:rsid w:val="009A4451"/>
    <w:rsid w:val="009A44B0"/>
    <w:rsid w:val="009A4FC2"/>
    <w:rsid w:val="009A5075"/>
    <w:rsid w:val="009A5606"/>
    <w:rsid w:val="009A67BA"/>
    <w:rsid w:val="009B016D"/>
    <w:rsid w:val="009B2386"/>
    <w:rsid w:val="009B23BD"/>
    <w:rsid w:val="009B2CF4"/>
    <w:rsid w:val="009B527A"/>
    <w:rsid w:val="009B531A"/>
    <w:rsid w:val="009B60E7"/>
    <w:rsid w:val="009B64F2"/>
    <w:rsid w:val="009B6BC6"/>
    <w:rsid w:val="009B6DAD"/>
    <w:rsid w:val="009C0547"/>
    <w:rsid w:val="009C0981"/>
    <w:rsid w:val="009C196E"/>
    <w:rsid w:val="009C3A33"/>
    <w:rsid w:val="009C4B78"/>
    <w:rsid w:val="009C72E4"/>
    <w:rsid w:val="009C7860"/>
    <w:rsid w:val="009D0340"/>
    <w:rsid w:val="009D15D0"/>
    <w:rsid w:val="009D2636"/>
    <w:rsid w:val="009D2C5F"/>
    <w:rsid w:val="009D2E0A"/>
    <w:rsid w:val="009D2FE6"/>
    <w:rsid w:val="009D3BE0"/>
    <w:rsid w:val="009D3CD2"/>
    <w:rsid w:val="009D4068"/>
    <w:rsid w:val="009D4F5D"/>
    <w:rsid w:val="009D60DC"/>
    <w:rsid w:val="009D6905"/>
    <w:rsid w:val="009D69BC"/>
    <w:rsid w:val="009D73D9"/>
    <w:rsid w:val="009D794E"/>
    <w:rsid w:val="009D7EAA"/>
    <w:rsid w:val="009E2D9B"/>
    <w:rsid w:val="009E497F"/>
    <w:rsid w:val="009E5887"/>
    <w:rsid w:val="009E599B"/>
    <w:rsid w:val="009E61E2"/>
    <w:rsid w:val="009E7F1E"/>
    <w:rsid w:val="009F2489"/>
    <w:rsid w:val="009F2CED"/>
    <w:rsid w:val="009F3FE2"/>
    <w:rsid w:val="009F44C4"/>
    <w:rsid w:val="009F48CA"/>
    <w:rsid w:val="009F6F43"/>
    <w:rsid w:val="009F778F"/>
    <w:rsid w:val="009F79FC"/>
    <w:rsid w:val="00A007CC"/>
    <w:rsid w:val="00A00C5E"/>
    <w:rsid w:val="00A0204A"/>
    <w:rsid w:val="00A04BBF"/>
    <w:rsid w:val="00A059E9"/>
    <w:rsid w:val="00A05D07"/>
    <w:rsid w:val="00A05F26"/>
    <w:rsid w:val="00A07500"/>
    <w:rsid w:val="00A123F0"/>
    <w:rsid w:val="00A12BC8"/>
    <w:rsid w:val="00A134F8"/>
    <w:rsid w:val="00A138F0"/>
    <w:rsid w:val="00A139A0"/>
    <w:rsid w:val="00A14C0C"/>
    <w:rsid w:val="00A14FB5"/>
    <w:rsid w:val="00A15DCB"/>
    <w:rsid w:val="00A161E3"/>
    <w:rsid w:val="00A17FB9"/>
    <w:rsid w:val="00A240B6"/>
    <w:rsid w:val="00A2506F"/>
    <w:rsid w:val="00A2520F"/>
    <w:rsid w:val="00A267EA"/>
    <w:rsid w:val="00A27243"/>
    <w:rsid w:val="00A27C81"/>
    <w:rsid w:val="00A3077F"/>
    <w:rsid w:val="00A30810"/>
    <w:rsid w:val="00A309C1"/>
    <w:rsid w:val="00A341FC"/>
    <w:rsid w:val="00A34A93"/>
    <w:rsid w:val="00A3522A"/>
    <w:rsid w:val="00A35305"/>
    <w:rsid w:val="00A3709A"/>
    <w:rsid w:val="00A37C49"/>
    <w:rsid w:val="00A40E6A"/>
    <w:rsid w:val="00A40F93"/>
    <w:rsid w:val="00A427C1"/>
    <w:rsid w:val="00A4393C"/>
    <w:rsid w:val="00A43FA9"/>
    <w:rsid w:val="00A44054"/>
    <w:rsid w:val="00A45C86"/>
    <w:rsid w:val="00A46218"/>
    <w:rsid w:val="00A473C9"/>
    <w:rsid w:val="00A475D2"/>
    <w:rsid w:val="00A47929"/>
    <w:rsid w:val="00A47998"/>
    <w:rsid w:val="00A50DB5"/>
    <w:rsid w:val="00A51084"/>
    <w:rsid w:val="00A51BA7"/>
    <w:rsid w:val="00A5755E"/>
    <w:rsid w:val="00A6366D"/>
    <w:rsid w:val="00A63C91"/>
    <w:rsid w:val="00A67226"/>
    <w:rsid w:val="00A6738D"/>
    <w:rsid w:val="00A67DFA"/>
    <w:rsid w:val="00A7107D"/>
    <w:rsid w:val="00A73B91"/>
    <w:rsid w:val="00A771D6"/>
    <w:rsid w:val="00A8075E"/>
    <w:rsid w:val="00A81C2E"/>
    <w:rsid w:val="00A8447D"/>
    <w:rsid w:val="00A90F04"/>
    <w:rsid w:val="00A91B1F"/>
    <w:rsid w:val="00A922D3"/>
    <w:rsid w:val="00A939E6"/>
    <w:rsid w:val="00A962D6"/>
    <w:rsid w:val="00A96B25"/>
    <w:rsid w:val="00A96E08"/>
    <w:rsid w:val="00A971A7"/>
    <w:rsid w:val="00A97335"/>
    <w:rsid w:val="00A975F2"/>
    <w:rsid w:val="00A97635"/>
    <w:rsid w:val="00A97B78"/>
    <w:rsid w:val="00AA0D05"/>
    <w:rsid w:val="00AA0D1B"/>
    <w:rsid w:val="00AA134D"/>
    <w:rsid w:val="00AA14B0"/>
    <w:rsid w:val="00AA3331"/>
    <w:rsid w:val="00AA4E9D"/>
    <w:rsid w:val="00AA6BD0"/>
    <w:rsid w:val="00AA7C24"/>
    <w:rsid w:val="00AB0927"/>
    <w:rsid w:val="00AB1D79"/>
    <w:rsid w:val="00AB2435"/>
    <w:rsid w:val="00AB2CE1"/>
    <w:rsid w:val="00AB55DD"/>
    <w:rsid w:val="00AB65D7"/>
    <w:rsid w:val="00AB72E7"/>
    <w:rsid w:val="00AC0955"/>
    <w:rsid w:val="00AC1F40"/>
    <w:rsid w:val="00AC20F6"/>
    <w:rsid w:val="00AC2828"/>
    <w:rsid w:val="00AC34D6"/>
    <w:rsid w:val="00AC3AD5"/>
    <w:rsid w:val="00AC4CB2"/>
    <w:rsid w:val="00AC55F5"/>
    <w:rsid w:val="00AC6698"/>
    <w:rsid w:val="00AC6E0D"/>
    <w:rsid w:val="00AC7587"/>
    <w:rsid w:val="00AC7A15"/>
    <w:rsid w:val="00AC7F56"/>
    <w:rsid w:val="00AD1044"/>
    <w:rsid w:val="00AD10C1"/>
    <w:rsid w:val="00AD45DF"/>
    <w:rsid w:val="00AD5B45"/>
    <w:rsid w:val="00AD6688"/>
    <w:rsid w:val="00AD6B5A"/>
    <w:rsid w:val="00AE0FA9"/>
    <w:rsid w:val="00AE10AA"/>
    <w:rsid w:val="00AE1551"/>
    <w:rsid w:val="00AE1DAF"/>
    <w:rsid w:val="00AE1E4D"/>
    <w:rsid w:val="00AE3764"/>
    <w:rsid w:val="00AE407C"/>
    <w:rsid w:val="00AE510B"/>
    <w:rsid w:val="00AE72E7"/>
    <w:rsid w:val="00AE76C1"/>
    <w:rsid w:val="00AF0DE4"/>
    <w:rsid w:val="00AF1AEF"/>
    <w:rsid w:val="00AF3347"/>
    <w:rsid w:val="00AF6990"/>
    <w:rsid w:val="00B036D8"/>
    <w:rsid w:val="00B044D3"/>
    <w:rsid w:val="00B04C71"/>
    <w:rsid w:val="00B0551A"/>
    <w:rsid w:val="00B05F84"/>
    <w:rsid w:val="00B06B40"/>
    <w:rsid w:val="00B073D3"/>
    <w:rsid w:val="00B07875"/>
    <w:rsid w:val="00B100E6"/>
    <w:rsid w:val="00B11806"/>
    <w:rsid w:val="00B122BF"/>
    <w:rsid w:val="00B122C4"/>
    <w:rsid w:val="00B1459D"/>
    <w:rsid w:val="00B15053"/>
    <w:rsid w:val="00B1665C"/>
    <w:rsid w:val="00B174B9"/>
    <w:rsid w:val="00B2193A"/>
    <w:rsid w:val="00B21948"/>
    <w:rsid w:val="00B2214B"/>
    <w:rsid w:val="00B226D2"/>
    <w:rsid w:val="00B24193"/>
    <w:rsid w:val="00B27BA8"/>
    <w:rsid w:val="00B328DD"/>
    <w:rsid w:val="00B32B37"/>
    <w:rsid w:val="00B358E0"/>
    <w:rsid w:val="00B36EA0"/>
    <w:rsid w:val="00B374D8"/>
    <w:rsid w:val="00B37A9A"/>
    <w:rsid w:val="00B4003B"/>
    <w:rsid w:val="00B4099F"/>
    <w:rsid w:val="00B411BE"/>
    <w:rsid w:val="00B41776"/>
    <w:rsid w:val="00B4330C"/>
    <w:rsid w:val="00B436EF"/>
    <w:rsid w:val="00B43952"/>
    <w:rsid w:val="00B46435"/>
    <w:rsid w:val="00B46F1A"/>
    <w:rsid w:val="00B47D3F"/>
    <w:rsid w:val="00B501AA"/>
    <w:rsid w:val="00B51357"/>
    <w:rsid w:val="00B5372A"/>
    <w:rsid w:val="00B53B65"/>
    <w:rsid w:val="00B549B9"/>
    <w:rsid w:val="00B54C24"/>
    <w:rsid w:val="00B5550B"/>
    <w:rsid w:val="00B5733D"/>
    <w:rsid w:val="00B575AA"/>
    <w:rsid w:val="00B603F9"/>
    <w:rsid w:val="00B6094C"/>
    <w:rsid w:val="00B61446"/>
    <w:rsid w:val="00B62964"/>
    <w:rsid w:val="00B63DBF"/>
    <w:rsid w:val="00B64C8C"/>
    <w:rsid w:val="00B67F49"/>
    <w:rsid w:val="00B728BF"/>
    <w:rsid w:val="00B72B0D"/>
    <w:rsid w:val="00B749B6"/>
    <w:rsid w:val="00B77445"/>
    <w:rsid w:val="00B820D3"/>
    <w:rsid w:val="00B8360E"/>
    <w:rsid w:val="00B8432D"/>
    <w:rsid w:val="00B8499D"/>
    <w:rsid w:val="00B875CE"/>
    <w:rsid w:val="00B90727"/>
    <w:rsid w:val="00B91AD6"/>
    <w:rsid w:val="00B929A9"/>
    <w:rsid w:val="00B94058"/>
    <w:rsid w:val="00B94594"/>
    <w:rsid w:val="00B9606E"/>
    <w:rsid w:val="00B9687F"/>
    <w:rsid w:val="00B969E4"/>
    <w:rsid w:val="00B97ED9"/>
    <w:rsid w:val="00BA117C"/>
    <w:rsid w:val="00BA1C9B"/>
    <w:rsid w:val="00BA248D"/>
    <w:rsid w:val="00BA3F65"/>
    <w:rsid w:val="00BA4961"/>
    <w:rsid w:val="00BA4B34"/>
    <w:rsid w:val="00BA4F30"/>
    <w:rsid w:val="00BA4F73"/>
    <w:rsid w:val="00BA54D6"/>
    <w:rsid w:val="00BA560F"/>
    <w:rsid w:val="00BA63A4"/>
    <w:rsid w:val="00BA641B"/>
    <w:rsid w:val="00BA6854"/>
    <w:rsid w:val="00BA7A24"/>
    <w:rsid w:val="00BB05B1"/>
    <w:rsid w:val="00BB08E4"/>
    <w:rsid w:val="00BB11E8"/>
    <w:rsid w:val="00BB198B"/>
    <w:rsid w:val="00BB19B4"/>
    <w:rsid w:val="00BB2041"/>
    <w:rsid w:val="00BB26E0"/>
    <w:rsid w:val="00BB2FFC"/>
    <w:rsid w:val="00BB4249"/>
    <w:rsid w:val="00BB55F7"/>
    <w:rsid w:val="00BB5AD5"/>
    <w:rsid w:val="00BB5F07"/>
    <w:rsid w:val="00BB6AB6"/>
    <w:rsid w:val="00BB7BB7"/>
    <w:rsid w:val="00BC0836"/>
    <w:rsid w:val="00BC0F32"/>
    <w:rsid w:val="00BC187E"/>
    <w:rsid w:val="00BC1BEE"/>
    <w:rsid w:val="00BC20C0"/>
    <w:rsid w:val="00BC2A5B"/>
    <w:rsid w:val="00BC54AD"/>
    <w:rsid w:val="00BC623D"/>
    <w:rsid w:val="00BC65E3"/>
    <w:rsid w:val="00BD1A3A"/>
    <w:rsid w:val="00BD2833"/>
    <w:rsid w:val="00BD380E"/>
    <w:rsid w:val="00BD4C43"/>
    <w:rsid w:val="00BD52A3"/>
    <w:rsid w:val="00BD658E"/>
    <w:rsid w:val="00BD75E8"/>
    <w:rsid w:val="00BD7DAF"/>
    <w:rsid w:val="00BE13B4"/>
    <w:rsid w:val="00BE1A49"/>
    <w:rsid w:val="00BE21A1"/>
    <w:rsid w:val="00BE2D8A"/>
    <w:rsid w:val="00BE53B9"/>
    <w:rsid w:val="00BE5920"/>
    <w:rsid w:val="00BE5D8F"/>
    <w:rsid w:val="00BE6B1B"/>
    <w:rsid w:val="00BE70C1"/>
    <w:rsid w:val="00BE76B4"/>
    <w:rsid w:val="00BF282E"/>
    <w:rsid w:val="00BF2C2F"/>
    <w:rsid w:val="00BF52E1"/>
    <w:rsid w:val="00BF5F2E"/>
    <w:rsid w:val="00BF690D"/>
    <w:rsid w:val="00BF6ECC"/>
    <w:rsid w:val="00C01D82"/>
    <w:rsid w:val="00C020BB"/>
    <w:rsid w:val="00C030AA"/>
    <w:rsid w:val="00C05ED3"/>
    <w:rsid w:val="00C07E85"/>
    <w:rsid w:val="00C1018A"/>
    <w:rsid w:val="00C12758"/>
    <w:rsid w:val="00C1485D"/>
    <w:rsid w:val="00C14FCE"/>
    <w:rsid w:val="00C177CD"/>
    <w:rsid w:val="00C20158"/>
    <w:rsid w:val="00C20FF6"/>
    <w:rsid w:val="00C23D3C"/>
    <w:rsid w:val="00C24196"/>
    <w:rsid w:val="00C24A5B"/>
    <w:rsid w:val="00C258CA"/>
    <w:rsid w:val="00C2755F"/>
    <w:rsid w:val="00C318D2"/>
    <w:rsid w:val="00C319EC"/>
    <w:rsid w:val="00C322F2"/>
    <w:rsid w:val="00C331DF"/>
    <w:rsid w:val="00C3324E"/>
    <w:rsid w:val="00C35F9E"/>
    <w:rsid w:val="00C361DA"/>
    <w:rsid w:val="00C37325"/>
    <w:rsid w:val="00C3735F"/>
    <w:rsid w:val="00C37891"/>
    <w:rsid w:val="00C402C1"/>
    <w:rsid w:val="00C43BD1"/>
    <w:rsid w:val="00C45544"/>
    <w:rsid w:val="00C473F7"/>
    <w:rsid w:val="00C52F7F"/>
    <w:rsid w:val="00C53E4E"/>
    <w:rsid w:val="00C572B2"/>
    <w:rsid w:val="00C600A5"/>
    <w:rsid w:val="00C60F7E"/>
    <w:rsid w:val="00C61095"/>
    <w:rsid w:val="00C63610"/>
    <w:rsid w:val="00C66560"/>
    <w:rsid w:val="00C67685"/>
    <w:rsid w:val="00C676CB"/>
    <w:rsid w:val="00C67A3E"/>
    <w:rsid w:val="00C67D57"/>
    <w:rsid w:val="00C67D8C"/>
    <w:rsid w:val="00C72A73"/>
    <w:rsid w:val="00C74F8F"/>
    <w:rsid w:val="00C75499"/>
    <w:rsid w:val="00C7576F"/>
    <w:rsid w:val="00C80036"/>
    <w:rsid w:val="00C81713"/>
    <w:rsid w:val="00C82743"/>
    <w:rsid w:val="00C82CA5"/>
    <w:rsid w:val="00C837C5"/>
    <w:rsid w:val="00C8425E"/>
    <w:rsid w:val="00C84800"/>
    <w:rsid w:val="00C85C5A"/>
    <w:rsid w:val="00C87576"/>
    <w:rsid w:val="00C90674"/>
    <w:rsid w:val="00C90C19"/>
    <w:rsid w:val="00C91C34"/>
    <w:rsid w:val="00C93A80"/>
    <w:rsid w:val="00C9558F"/>
    <w:rsid w:val="00C96C2A"/>
    <w:rsid w:val="00C97E84"/>
    <w:rsid w:val="00CA0938"/>
    <w:rsid w:val="00CA0958"/>
    <w:rsid w:val="00CA13CE"/>
    <w:rsid w:val="00CA1D88"/>
    <w:rsid w:val="00CA33FC"/>
    <w:rsid w:val="00CA37ED"/>
    <w:rsid w:val="00CA3D5E"/>
    <w:rsid w:val="00CA42B2"/>
    <w:rsid w:val="00CA45C8"/>
    <w:rsid w:val="00CA4A4F"/>
    <w:rsid w:val="00CA51E1"/>
    <w:rsid w:val="00CA6143"/>
    <w:rsid w:val="00CA719B"/>
    <w:rsid w:val="00CB02BC"/>
    <w:rsid w:val="00CB0D03"/>
    <w:rsid w:val="00CB2B82"/>
    <w:rsid w:val="00CB2BAD"/>
    <w:rsid w:val="00CB394A"/>
    <w:rsid w:val="00CB5000"/>
    <w:rsid w:val="00CB6181"/>
    <w:rsid w:val="00CB7E17"/>
    <w:rsid w:val="00CC0654"/>
    <w:rsid w:val="00CC2801"/>
    <w:rsid w:val="00CC3479"/>
    <w:rsid w:val="00CC39F8"/>
    <w:rsid w:val="00CC450F"/>
    <w:rsid w:val="00CC4B01"/>
    <w:rsid w:val="00CC7593"/>
    <w:rsid w:val="00CD03A5"/>
    <w:rsid w:val="00CD2491"/>
    <w:rsid w:val="00CE20AC"/>
    <w:rsid w:val="00CE263F"/>
    <w:rsid w:val="00CE3EDF"/>
    <w:rsid w:val="00CE5E18"/>
    <w:rsid w:val="00CE6B61"/>
    <w:rsid w:val="00CE7189"/>
    <w:rsid w:val="00CF0254"/>
    <w:rsid w:val="00CF1D4D"/>
    <w:rsid w:val="00CF2988"/>
    <w:rsid w:val="00CF53C0"/>
    <w:rsid w:val="00CF6884"/>
    <w:rsid w:val="00CF7182"/>
    <w:rsid w:val="00CF78E7"/>
    <w:rsid w:val="00CF7FE7"/>
    <w:rsid w:val="00D013E4"/>
    <w:rsid w:val="00D03CD5"/>
    <w:rsid w:val="00D03F86"/>
    <w:rsid w:val="00D06022"/>
    <w:rsid w:val="00D0766E"/>
    <w:rsid w:val="00D1479B"/>
    <w:rsid w:val="00D14C74"/>
    <w:rsid w:val="00D2099D"/>
    <w:rsid w:val="00D22271"/>
    <w:rsid w:val="00D30260"/>
    <w:rsid w:val="00D30A59"/>
    <w:rsid w:val="00D320E1"/>
    <w:rsid w:val="00D32FFE"/>
    <w:rsid w:val="00D34C2F"/>
    <w:rsid w:val="00D34D88"/>
    <w:rsid w:val="00D34EAF"/>
    <w:rsid w:val="00D36272"/>
    <w:rsid w:val="00D4092D"/>
    <w:rsid w:val="00D41408"/>
    <w:rsid w:val="00D41C50"/>
    <w:rsid w:val="00D42D20"/>
    <w:rsid w:val="00D42F87"/>
    <w:rsid w:val="00D435FE"/>
    <w:rsid w:val="00D444B6"/>
    <w:rsid w:val="00D46062"/>
    <w:rsid w:val="00D47C79"/>
    <w:rsid w:val="00D50B4C"/>
    <w:rsid w:val="00D52694"/>
    <w:rsid w:val="00D53616"/>
    <w:rsid w:val="00D53C63"/>
    <w:rsid w:val="00D53E8D"/>
    <w:rsid w:val="00D55D26"/>
    <w:rsid w:val="00D60F2B"/>
    <w:rsid w:val="00D614F0"/>
    <w:rsid w:val="00D62F8A"/>
    <w:rsid w:val="00D6485D"/>
    <w:rsid w:val="00D64D51"/>
    <w:rsid w:val="00D64ED3"/>
    <w:rsid w:val="00D65382"/>
    <w:rsid w:val="00D65636"/>
    <w:rsid w:val="00D65683"/>
    <w:rsid w:val="00D66838"/>
    <w:rsid w:val="00D70651"/>
    <w:rsid w:val="00D71BF1"/>
    <w:rsid w:val="00D72F7C"/>
    <w:rsid w:val="00D745D5"/>
    <w:rsid w:val="00D75204"/>
    <w:rsid w:val="00D76498"/>
    <w:rsid w:val="00D764A5"/>
    <w:rsid w:val="00D7655B"/>
    <w:rsid w:val="00D768AE"/>
    <w:rsid w:val="00D77D19"/>
    <w:rsid w:val="00D80065"/>
    <w:rsid w:val="00D814BC"/>
    <w:rsid w:val="00D82EEB"/>
    <w:rsid w:val="00D8352C"/>
    <w:rsid w:val="00D86935"/>
    <w:rsid w:val="00D905F4"/>
    <w:rsid w:val="00D90885"/>
    <w:rsid w:val="00D91378"/>
    <w:rsid w:val="00D91F2B"/>
    <w:rsid w:val="00D92CDE"/>
    <w:rsid w:val="00D966F6"/>
    <w:rsid w:val="00D96CE4"/>
    <w:rsid w:val="00DA0041"/>
    <w:rsid w:val="00DA1BE4"/>
    <w:rsid w:val="00DA2069"/>
    <w:rsid w:val="00DA4505"/>
    <w:rsid w:val="00DA59B3"/>
    <w:rsid w:val="00DA6154"/>
    <w:rsid w:val="00DA69BD"/>
    <w:rsid w:val="00DA6D22"/>
    <w:rsid w:val="00DB2153"/>
    <w:rsid w:val="00DB3EF3"/>
    <w:rsid w:val="00DB445B"/>
    <w:rsid w:val="00DB515A"/>
    <w:rsid w:val="00DB52B8"/>
    <w:rsid w:val="00DB672B"/>
    <w:rsid w:val="00DB7154"/>
    <w:rsid w:val="00DB7524"/>
    <w:rsid w:val="00DC1216"/>
    <w:rsid w:val="00DC1C71"/>
    <w:rsid w:val="00DC1F98"/>
    <w:rsid w:val="00DC2D1C"/>
    <w:rsid w:val="00DC3366"/>
    <w:rsid w:val="00DC3E82"/>
    <w:rsid w:val="00DC71C9"/>
    <w:rsid w:val="00DD0771"/>
    <w:rsid w:val="00DD134A"/>
    <w:rsid w:val="00DD2E12"/>
    <w:rsid w:val="00DD3D48"/>
    <w:rsid w:val="00DD47CB"/>
    <w:rsid w:val="00DD6946"/>
    <w:rsid w:val="00DD6AEF"/>
    <w:rsid w:val="00DD7E9B"/>
    <w:rsid w:val="00DE211F"/>
    <w:rsid w:val="00DE2188"/>
    <w:rsid w:val="00DE227B"/>
    <w:rsid w:val="00DE2376"/>
    <w:rsid w:val="00DE520A"/>
    <w:rsid w:val="00DE5AB7"/>
    <w:rsid w:val="00DE6D0C"/>
    <w:rsid w:val="00DE6DD6"/>
    <w:rsid w:val="00DF0D15"/>
    <w:rsid w:val="00DF0DFF"/>
    <w:rsid w:val="00DF15FA"/>
    <w:rsid w:val="00DF1E8F"/>
    <w:rsid w:val="00DF3730"/>
    <w:rsid w:val="00DF466B"/>
    <w:rsid w:val="00DF4DAA"/>
    <w:rsid w:val="00DF6323"/>
    <w:rsid w:val="00DF66EE"/>
    <w:rsid w:val="00DF6C5E"/>
    <w:rsid w:val="00DF7758"/>
    <w:rsid w:val="00DF7AD6"/>
    <w:rsid w:val="00E00FA1"/>
    <w:rsid w:val="00E04784"/>
    <w:rsid w:val="00E061C4"/>
    <w:rsid w:val="00E06477"/>
    <w:rsid w:val="00E07E75"/>
    <w:rsid w:val="00E127E3"/>
    <w:rsid w:val="00E12844"/>
    <w:rsid w:val="00E146F3"/>
    <w:rsid w:val="00E14C8D"/>
    <w:rsid w:val="00E15015"/>
    <w:rsid w:val="00E160F9"/>
    <w:rsid w:val="00E166A6"/>
    <w:rsid w:val="00E17258"/>
    <w:rsid w:val="00E17618"/>
    <w:rsid w:val="00E21481"/>
    <w:rsid w:val="00E214ED"/>
    <w:rsid w:val="00E2198A"/>
    <w:rsid w:val="00E22BB8"/>
    <w:rsid w:val="00E2430C"/>
    <w:rsid w:val="00E2479A"/>
    <w:rsid w:val="00E24830"/>
    <w:rsid w:val="00E26A05"/>
    <w:rsid w:val="00E27592"/>
    <w:rsid w:val="00E27A1D"/>
    <w:rsid w:val="00E27D83"/>
    <w:rsid w:val="00E31A86"/>
    <w:rsid w:val="00E320AB"/>
    <w:rsid w:val="00E32211"/>
    <w:rsid w:val="00E354AF"/>
    <w:rsid w:val="00E36BDD"/>
    <w:rsid w:val="00E36F03"/>
    <w:rsid w:val="00E4121A"/>
    <w:rsid w:val="00E41A32"/>
    <w:rsid w:val="00E424B2"/>
    <w:rsid w:val="00E432A5"/>
    <w:rsid w:val="00E44C07"/>
    <w:rsid w:val="00E45A8F"/>
    <w:rsid w:val="00E45B93"/>
    <w:rsid w:val="00E475E1"/>
    <w:rsid w:val="00E47ADD"/>
    <w:rsid w:val="00E51453"/>
    <w:rsid w:val="00E51C2E"/>
    <w:rsid w:val="00E51DF2"/>
    <w:rsid w:val="00E52529"/>
    <w:rsid w:val="00E537E9"/>
    <w:rsid w:val="00E5540E"/>
    <w:rsid w:val="00E55BBF"/>
    <w:rsid w:val="00E561EC"/>
    <w:rsid w:val="00E60202"/>
    <w:rsid w:val="00E60234"/>
    <w:rsid w:val="00E60538"/>
    <w:rsid w:val="00E6103D"/>
    <w:rsid w:val="00E61900"/>
    <w:rsid w:val="00E624CE"/>
    <w:rsid w:val="00E64CC0"/>
    <w:rsid w:val="00E66731"/>
    <w:rsid w:val="00E71C39"/>
    <w:rsid w:val="00E72706"/>
    <w:rsid w:val="00E73306"/>
    <w:rsid w:val="00E7349D"/>
    <w:rsid w:val="00E734CF"/>
    <w:rsid w:val="00E74071"/>
    <w:rsid w:val="00E74366"/>
    <w:rsid w:val="00E77AC5"/>
    <w:rsid w:val="00E834D3"/>
    <w:rsid w:val="00E849CD"/>
    <w:rsid w:val="00E84BB4"/>
    <w:rsid w:val="00E85975"/>
    <w:rsid w:val="00E91FB7"/>
    <w:rsid w:val="00E920BC"/>
    <w:rsid w:val="00E93A2B"/>
    <w:rsid w:val="00E93E8E"/>
    <w:rsid w:val="00E9443A"/>
    <w:rsid w:val="00E9646E"/>
    <w:rsid w:val="00E96516"/>
    <w:rsid w:val="00EA076D"/>
    <w:rsid w:val="00EA0EFC"/>
    <w:rsid w:val="00EA1E30"/>
    <w:rsid w:val="00EA38F5"/>
    <w:rsid w:val="00EA4DF5"/>
    <w:rsid w:val="00EA4DF9"/>
    <w:rsid w:val="00EA578A"/>
    <w:rsid w:val="00EA7902"/>
    <w:rsid w:val="00EB0FD8"/>
    <w:rsid w:val="00EB20AF"/>
    <w:rsid w:val="00EB2760"/>
    <w:rsid w:val="00EB496B"/>
    <w:rsid w:val="00EB5BEB"/>
    <w:rsid w:val="00EB61E7"/>
    <w:rsid w:val="00EB775C"/>
    <w:rsid w:val="00EC2A6F"/>
    <w:rsid w:val="00EC34BC"/>
    <w:rsid w:val="00EC3BB2"/>
    <w:rsid w:val="00EC3ECC"/>
    <w:rsid w:val="00EC4F5E"/>
    <w:rsid w:val="00EC5AB5"/>
    <w:rsid w:val="00EC694E"/>
    <w:rsid w:val="00EC6B6B"/>
    <w:rsid w:val="00ED1189"/>
    <w:rsid w:val="00ED1FE1"/>
    <w:rsid w:val="00ED21C3"/>
    <w:rsid w:val="00ED337F"/>
    <w:rsid w:val="00ED3B00"/>
    <w:rsid w:val="00ED40D2"/>
    <w:rsid w:val="00ED74DA"/>
    <w:rsid w:val="00EE13F4"/>
    <w:rsid w:val="00EE2FA8"/>
    <w:rsid w:val="00EE31B5"/>
    <w:rsid w:val="00EE3699"/>
    <w:rsid w:val="00EE3CA2"/>
    <w:rsid w:val="00EE4366"/>
    <w:rsid w:val="00EE5F73"/>
    <w:rsid w:val="00EF0467"/>
    <w:rsid w:val="00EF1BD2"/>
    <w:rsid w:val="00EF34ED"/>
    <w:rsid w:val="00EF3FF0"/>
    <w:rsid w:val="00EF4586"/>
    <w:rsid w:val="00EF5268"/>
    <w:rsid w:val="00EF65BF"/>
    <w:rsid w:val="00EF7E48"/>
    <w:rsid w:val="00F00DF0"/>
    <w:rsid w:val="00F01C44"/>
    <w:rsid w:val="00F035F7"/>
    <w:rsid w:val="00F03E88"/>
    <w:rsid w:val="00F04A33"/>
    <w:rsid w:val="00F06631"/>
    <w:rsid w:val="00F06F05"/>
    <w:rsid w:val="00F106CC"/>
    <w:rsid w:val="00F10988"/>
    <w:rsid w:val="00F1136F"/>
    <w:rsid w:val="00F121C9"/>
    <w:rsid w:val="00F14B39"/>
    <w:rsid w:val="00F170D3"/>
    <w:rsid w:val="00F17629"/>
    <w:rsid w:val="00F1793A"/>
    <w:rsid w:val="00F17C03"/>
    <w:rsid w:val="00F20191"/>
    <w:rsid w:val="00F25367"/>
    <w:rsid w:val="00F26A85"/>
    <w:rsid w:val="00F30375"/>
    <w:rsid w:val="00F31335"/>
    <w:rsid w:val="00F37120"/>
    <w:rsid w:val="00F37274"/>
    <w:rsid w:val="00F402D9"/>
    <w:rsid w:val="00F4132B"/>
    <w:rsid w:val="00F4194B"/>
    <w:rsid w:val="00F42299"/>
    <w:rsid w:val="00F429D0"/>
    <w:rsid w:val="00F44A88"/>
    <w:rsid w:val="00F44DF8"/>
    <w:rsid w:val="00F45C38"/>
    <w:rsid w:val="00F46DF1"/>
    <w:rsid w:val="00F50AA8"/>
    <w:rsid w:val="00F50E99"/>
    <w:rsid w:val="00F52846"/>
    <w:rsid w:val="00F52E38"/>
    <w:rsid w:val="00F55A27"/>
    <w:rsid w:val="00F55C0E"/>
    <w:rsid w:val="00F565E1"/>
    <w:rsid w:val="00F5686A"/>
    <w:rsid w:val="00F57721"/>
    <w:rsid w:val="00F57ADB"/>
    <w:rsid w:val="00F57BB4"/>
    <w:rsid w:val="00F57CF4"/>
    <w:rsid w:val="00F60084"/>
    <w:rsid w:val="00F6049A"/>
    <w:rsid w:val="00F60A01"/>
    <w:rsid w:val="00F610F9"/>
    <w:rsid w:val="00F63DB4"/>
    <w:rsid w:val="00F6521A"/>
    <w:rsid w:val="00F652C4"/>
    <w:rsid w:val="00F66554"/>
    <w:rsid w:val="00F667D5"/>
    <w:rsid w:val="00F66941"/>
    <w:rsid w:val="00F670A0"/>
    <w:rsid w:val="00F71BE6"/>
    <w:rsid w:val="00F720CA"/>
    <w:rsid w:val="00F72114"/>
    <w:rsid w:val="00F72407"/>
    <w:rsid w:val="00F730A5"/>
    <w:rsid w:val="00F75FB2"/>
    <w:rsid w:val="00F76688"/>
    <w:rsid w:val="00F766BE"/>
    <w:rsid w:val="00F76A2C"/>
    <w:rsid w:val="00F770F6"/>
    <w:rsid w:val="00F77444"/>
    <w:rsid w:val="00F77B55"/>
    <w:rsid w:val="00F80BE3"/>
    <w:rsid w:val="00F810E5"/>
    <w:rsid w:val="00F82AFB"/>
    <w:rsid w:val="00F83160"/>
    <w:rsid w:val="00F831FE"/>
    <w:rsid w:val="00F8640E"/>
    <w:rsid w:val="00F90EE3"/>
    <w:rsid w:val="00F910A0"/>
    <w:rsid w:val="00F915E3"/>
    <w:rsid w:val="00F91903"/>
    <w:rsid w:val="00F921CD"/>
    <w:rsid w:val="00F93295"/>
    <w:rsid w:val="00F935F9"/>
    <w:rsid w:val="00F93A20"/>
    <w:rsid w:val="00F93CC2"/>
    <w:rsid w:val="00F94754"/>
    <w:rsid w:val="00F960E8"/>
    <w:rsid w:val="00F96825"/>
    <w:rsid w:val="00FA0448"/>
    <w:rsid w:val="00FA2995"/>
    <w:rsid w:val="00FA5070"/>
    <w:rsid w:val="00FA5896"/>
    <w:rsid w:val="00FA5BF2"/>
    <w:rsid w:val="00FA7E56"/>
    <w:rsid w:val="00FB08A9"/>
    <w:rsid w:val="00FB1C7D"/>
    <w:rsid w:val="00FB226C"/>
    <w:rsid w:val="00FB2ED1"/>
    <w:rsid w:val="00FB3143"/>
    <w:rsid w:val="00FB3D3E"/>
    <w:rsid w:val="00FB5788"/>
    <w:rsid w:val="00FB7284"/>
    <w:rsid w:val="00FB73EF"/>
    <w:rsid w:val="00FB7DBF"/>
    <w:rsid w:val="00FC03CB"/>
    <w:rsid w:val="00FC059D"/>
    <w:rsid w:val="00FC2235"/>
    <w:rsid w:val="00FC2280"/>
    <w:rsid w:val="00FC2B62"/>
    <w:rsid w:val="00FC33A8"/>
    <w:rsid w:val="00FC34CA"/>
    <w:rsid w:val="00FC413C"/>
    <w:rsid w:val="00FC430E"/>
    <w:rsid w:val="00FC4D75"/>
    <w:rsid w:val="00FC584E"/>
    <w:rsid w:val="00FC5B81"/>
    <w:rsid w:val="00FC6D46"/>
    <w:rsid w:val="00FC79C7"/>
    <w:rsid w:val="00FC7B1D"/>
    <w:rsid w:val="00FD11EF"/>
    <w:rsid w:val="00FD1EC5"/>
    <w:rsid w:val="00FD30B5"/>
    <w:rsid w:val="00FD4B8B"/>
    <w:rsid w:val="00FD4C5D"/>
    <w:rsid w:val="00FD4DED"/>
    <w:rsid w:val="00FD531D"/>
    <w:rsid w:val="00FD679E"/>
    <w:rsid w:val="00FD73A3"/>
    <w:rsid w:val="00FE05EB"/>
    <w:rsid w:val="00FE1D4C"/>
    <w:rsid w:val="00FE1DED"/>
    <w:rsid w:val="00FE3B72"/>
    <w:rsid w:val="00FE3B99"/>
    <w:rsid w:val="00FE581C"/>
    <w:rsid w:val="00FE66AD"/>
    <w:rsid w:val="00FE6DCB"/>
    <w:rsid w:val="00FE6EAD"/>
    <w:rsid w:val="00FF113F"/>
    <w:rsid w:val="00FF1552"/>
    <w:rsid w:val="00FF2709"/>
    <w:rsid w:val="00FF523A"/>
    <w:rsid w:val="00FF7C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67"/>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536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F25367"/>
    <w:rPr>
      <w:rFonts w:eastAsia="新細明體" w:cs="Times New Roman"/>
      <w:kern w:val="2"/>
      <w:lang w:val="en-US" w:eastAsia="zh-TW" w:bidi="ar-SA"/>
    </w:rPr>
  </w:style>
  <w:style w:type="paragraph" w:styleId="BodyTextIndent">
    <w:name w:val="Body Text Indent"/>
    <w:basedOn w:val="Normal"/>
    <w:link w:val="BodyTextIndentChar"/>
    <w:uiPriority w:val="99"/>
    <w:rsid w:val="00F25367"/>
    <w:pPr>
      <w:spacing w:after="120"/>
      <w:ind w:leftChars="200" w:left="480"/>
    </w:pPr>
  </w:style>
  <w:style w:type="character" w:customStyle="1" w:styleId="BodyTextIndentChar">
    <w:name w:val="Body Text Indent Char"/>
    <w:basedOn w:val="DefaultParagraphFont"/>
    <w:link w:val="BodyTextIndent"/>
    <w:uiPriority w:val="99"/>
    <w:semiHidden/>
    <w:locked/>
    <w:rsid w:val="00141095"/>
    <w:rPr>
      <w:rFonts w:cs="Times New Roman"/>
      <w:sz w:val="24"/>
      <w:szCs w:val="24"/>
    </w:rPr>
  </w:style>
  <w:style w:type="paragraph" w:styleId="BalloonText">
    <w:name w:val="Balloon Text"/>
    <w:basedOn w:val="Normal"/>
    <w:link w:val="BalloonTextChar"/>
    <w:uiPriority w:val="99"/>
    <w:semiHidden/>
    <w:rsid w:val="0015233E"/>
    <w:rPr>
      <w:rFonts w:ascii="Arial" w:hAnsi="Arial"/>
      <w:sz w:val="18"/>
      <w:szCs w:val="18"/>
    </w:rPr>
  </w:style>
  <w:style w:type="character" w:customStyle="1" w:styleId="BalloonTextChar">
    <w:name w:val="Balloon Text Char"/>
    <w:basedOn w:val="DefaultParagraphFont"/>
    <w:link w:val="BalloonText"/>
    <w:uiPriority w:val="99"/>
    <w:semiHidden/>
    <w:locked/>
    <w:rsid w:val="00141095"/>
    <w:rPr>
      <w:rFonts w:ascii="Cambria" w:eastAsia="新細明體" w:hAnsi="Cambria" w:cs="Times New Roman"/>
      <w:sz w:val="2"/>
    </w:rPr>
  </w:style>
  <w:style w:type="paragraph" w:styleId="Header">
    <w:name w:val="header"/>
    <w:basedOn w:val="Normal"/>
    <w:link w:val="HeaderChar"/>
    <w:uiPriority w:val="99"/>
    <w:rsid w:val="00800F4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00F4D"/>
    <w:rPr>
      <w:rFonts w:cs="Times New Roman"/>
      <w:kern w:val="2"/>
    </w:rPr>
  </w:style>
  <w:style w:type="paragraph" w:styleId="ListParagraph">
    <w:name w:val="List Paragraph"/>
    <w:basedOn w:val="Normal"/>
    <w:uiPriority w:val="99"/>
    <w:qFormat/>
    <w:rsid w:val="0006373E"/>
    <w:pPr>
      <w:ind w:leftChars="200" w:left="480"/>
    </w:pPr>
  </w:style>
  <w:style w:type="table" w:styleId="TableGrid">
    <w:name w:val="Table Grid"/>
    <w:basedOn w:val="TableNormal"/>
    <w:uiPriority w:val="99"/>
    <w:rsid w:val="00721AAA"/>
    <w:rPr>
      <w:rFonts w:ascii="Calibri"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B2153"/>
    <w:pPr>
      <w:widowControl/>
    </w:pPr>
    <w:rPr>
      <w:rFonts w:ascii="Calibri" w:eastAsia="標楷體" w:hAnsi="Courier New" w:cs="Courier New"/>
      <w:kern w:val="0"/>
    </w:rPr>
  </w:style>
  <w:style w:type="character" w:customStyle="1" w:styleId="PlainTextChar">
    <w:name w:val="Plain Text Char"/>
    <w:basedOn w:val="DefaultParagraphFont"/>
    <w:link w:val="PlainText"/>
    <w:uiPriority w:val="99"/>
    <w:locked/>
    <w:rsid w:val="00DB2153"/>
    <w:rPr>
      <w:rFonts w:ascii="Calibri" w:eastAsia="標楷體" w:hAnsi="Courier New" w:cs="Courier New"/>
      <w:sz w:val="24"/>
      <w:szCs w:val="24"/>
    </w:rPr>
  </w:style>
  <w:style w:type="paragraph" w:customStyle="1" w:styleId="Default">
    <w:name w:val="Default"/>
    <w:uiPriority w:val="99"/>
    <w:rsid w:val="00031A74"/>
    <w:pPr>
      <w:widowControl w:val="0"/>
      <w:autoSpaceDE w:val="0"/>
      <w:autoSpaceDN w:val="0"/>
      <w:adjustRightInd w:val="0"/>
    </w:pPr>
    <w:rPr>
      <w:rFonts w:ascii="標楷體" w:hAnsi="標楷體" w:cs="標楷體"/>
      <w:color w:val="000000"/>
      <w:kern w:val="0"/>
      <w:szCs w:val="24"/>
    </w:rPr>
  </w:style>
  <w:style w:type="paragraph" w:styleId="NoteHeading">
    <w:name w:val="Note Heading"/>
    <w:basedOn w:val="Normal"/>
    <w:next w:val="Normal"/>
    <w:link w:val="NoteHeadingChar"/>
    <w:uiPriority w:val="99"/>
    <w:rsid w:val="00BB26E0"/>
    <w:pPr>
      <w:jc w:val="center"/>
    </w:pPr>
    <w:rPr>
      <w:rFonts w:ascii="標楷體" w:eastAsia="標楷體" w:hAnsi="標楷體"/>
      <w:b/>
      <w:sz w:val="30"/>
      <w:szCs w:val="30"/>
    </w:rPr>
  </w:style>
  <w:style w:type="character" w:customStyle="1" w:styleId="NoteHeadingChar">
    <w:name w:val="Note Heading Char"/>
    <w:basedOn w:val="DefaultParagraphFont"/>
    <w:link w:val="NoteHeading"/>
    <w:uiPriority w:val="99"/>
    <w:locked/>
    <w:rsid w:val="00BB26E0"/>
    <w:rPr>
      <w:rFonts w:ascii="標楷體" w:eastAsia="標楷體" w:hAnsi="標楷體" w:cs="Times New Roman"/>
      <w:b/>
      <w:kern w:val="2"/>
      <w:sz w:val="30"/>
      <w:szCs w:val="30"/>
    </w:rPr>
  </w:style>
  <w:style w:type="paragraph" w:styleId="Closing">
    <w:name w:val="Closing"/>
    <w:basedOn w:val="Normal"/>
    <w:link w:val="ClosingChar"/>
    <w:uiPriority w:val="99"/>
    <w:rsid w:val="00BB26E0"/>
    <w:pPr>
      <w:ind w:leftChars="1800" w:left="100"/>
    </w:pPr>
    <w:rPr>
      <w:rFonts w:ascii="標楷體" w:eastAsia="標楷體" w:hAnsi="標楷體"/>
      <w:b/>
      <w:sz w:val="30"/>
      <w:szCs w:val="30"/>
    </w:rPr>
  </w:style>
  <w:style w:type="character" w:customStyle="1" w:styleId="ClosingChar">
    <w:name w:val="Closing Char"/>
    <w:basedOn w:val="DefaultParagraphFont"/>
    <w:link w:val="Closing"/>
    <w:uiPriority w:val="99"/>
    <w:locked/>
    <w:rsid w:val="00BB26E0"/>
    <w:rPr>
      <w:rFonts w:ascii="標楷體" w:eastAsia="標楷體" w:hAnsi="標楷體" w:cs="Times New Roman"/>
      <w:b/>
      <w:kern w:val="2"/>
      <w:sz w:val="30"/>
      <w:szCs w:val="30"/>
    </w:rPr>
  </w:style>
  <w:style w:type="paragraph" w:customStyle="1" w:styleId="1">
    <w:name w:val="清單段落1"/>
    <w:basedOn w:val="Normal"/>
    <w:uiPriority w:val="99"/>
    <w:rsid w:val="00DF66EE"/>
    <w:pPr>
      <w:ind w:leftChars="200" w:left="480"/>
    </w:pPr>
  </w:style>
  <w:style w:type="character" w:customStyle="1" w:styleId="rphighlightallclass">
    <w:name w:val="rphighlightallclass"/>
    <w:basedOn w:val="DefaultParagraphFont"/>
    <w:uiPriority w:val="99"/>
    <w:rsid w:val="008D3D71"/>
    <w:rPr>
      <w:rFonts w:cs="Times New Roman"/>
    </w:rPr>
  </w:style>
</w:styles>
</file>

<file path=word/webSettings.xml><?xml version="1.0" encoding="utf-8"?>
<w:webSettings xmlns:r="http://schemas.openxmlformats.org/officeDocument/2006/relationships" xmlns:w="http://schemas.openxmlformats.org/wordprocessingml/2006/main">
  <w:divs>
    <w:div w:id="2095974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13</Pages>
  <Words>1393</Words>
  <Characters>7943</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subject/>
  <dc:creator>USER</dc:creator>
  <cp:keywords/>
  <dc:description/>
  <cp:lastModifiedBy>USER</cp:lastModifiedBy>
  <cp:revision>3</cp:revision>
  <cp:lastPrinted>2015-02-26T06:40:00Z</cp:lastPrinted>
  <dcterms:created xsi:type="dcterms:W3CDTF">2015-02-26T09:50:00Z</dcterms:created>
  <dcterms:modified xsi:type="dcterms:W3CDTF">2015-02-26T09:51:00Z</dcterms:modified>
</cp:coreProperties>
</file>